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2A8C5D">
      <w:pPr>
        <w:spacing w:line="580" w:lineRule="exact"/>
        <w:jc w:val="center"/>
        <w:rPr>
          <w:rFonts w:hint="eastAsia" w:ascii="黑体" w:hAnsi="黑体" w:eastAsia="黑体" w:cs="黑体"/>
          <w:color w:val="auto"/>
          <w:sz w:val="44"/>
          <w:szCs w:val="44"/>
          <w:u w:val="none"/>
        </w:rPr>
      </w:pPr>
      <w:r>
        <w:rPr>
          <w:rFonts w:hint="eastAsia" w:ascii="黑体" w:hAnsi="黑体" w:eastAsia="黑体" w:cs="黑体"/>
          <w:color w:val="auto"/>
          <w:sz w:val="44"/>
          <w:szCs w:val="44"/>
          <w:highlight w:val="none"/>
          <w:u w:val="none"/>
          <w:lang w:val="en-US" w:eastAsia="zh-CN"/>
        </w:rPr>
        <w:t>医</w:t>
      </w:r>
      <w:r>
        <w:rPr>
          <w:rFonts w:hint="eastAsia" w:ascii="黑体" w:hAnsi="黑体" w:eastAsia="黑体" w:cs="黑体"/>
          <w:color w:val="auto"/>
          <w:sz w:val="44"/>
          <w:szCs w:val="44"/>
          <w:highlight w:val="none"/>
          <w:u w:val="none"/>
        </w:rPr>
        <w:t>用耗材</w:t>
      </w:r>
      <w:r>
        <w:rPr>
          <w:rFonts w:hint="eastAsia" w:ascii="黑体" w:hAnsi="黑体" w:eastAsia="黑体" w:cs="黑体"/>
          <w:color w:val="auto"/>
          <w:sz w:val="44"/>
          <w:szCs w:val="44"/>
          <w:u w:val="none"/>
        </w:rPr>
        <w:t>购销合同</w:t>
      </w:r>
    </w:p>
    <w:p w14:paraId="373255B1">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 w:hAnsi="仿宋" w:eastAsia="仿宋" w:cs="仿宋"/>
          <w:color w:val="auto"/>
          <w:sz w:val="28"/>
          <w:szCs w:val="28"/>
          <w:u w:val="none"/>
        </w:rPr>
      </w:pPr>
    </w:p>
    <w:p w14:paraId="417CC814">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color w:val="auto"/>
          <w:sz w:val="28"/>
          <w:szCs w:val="28"/>
          <w:u w:val="none"/>
        </w:rPr>
      </w:pPr>
      <w:r>
        <w:rPr>
          <w:rFonts w:hint="eastAsia" w:ascii="仿宋" w:hAnsi="仿宋" w:eastAsia="仿宋" w:cs="仿宋"/>
          <w:color w:val="auto"/>
          <w:sz w:val="28"/>
          <w:szCs w:val="28"/>
          <w:u w:val="none"/>
        </w:rPr>
        <w:t xml:space="preserve">                    </w:t>
      </w:r>
      <w:r>
        <w:rPr>
          <w:rFonts w:hint="eastAsia" w:ascii="仿宋_GB2312" w:hAnsi="仿宋_GB2312" w:eastAsia="仿宋_GB2312" w:cs="仿宋_GB2312"/>
          <w:color w:val="auto"/>
          <w:sz w:val="28"/>
          <w:szCs w:val="28"/>
          <w:u w:val="none"/>
        </w:rPr>
        <w:t xml:space="preserve"> 合同编号：</w:t>
      </w:r>
    </w:p>
    <w:p w14:paraId="506DEC7E">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color w:val="auto"/>
          <w:sz w:val="28"/>
          <w:szCs w:val="28"/>
          <w:u w:val="none"/>
        </w:rPr>
      </w:pPr>
    </w:p>
    <w:p w14:paraId="48622556">
      <w:pPr>
        <w:keepNext w:val="0"/>
        <w:keepLines w:val="0"/>
        <w:pageBreakBefore w:val="0"/>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napToGrid w:val="0"/>
          <w:color w:val="auto"/>
          <w:sz w:val="28"/>
          <w:szCs w:val="28"/>
          <w:u w:val="none"/>
          <w:lang w:val="en-US" w:eastAsia="zh-CN"/>
        </w:rPr>
      </w:pPr>
      <w:r>
        <w:rPr>
          <w:rFonts w:hint="eastAsia" w:ascii="仿宋_GB2312" w:hAnsi="仿宋_GB2312" w:eastAsia="仿宋_GB2312" w:cs="仿宋_GB2312"/>
          <w:snapToGrid w:val="0"/>
          <w:color w:val="auto"/>
          <w:sz w:val="28"/>
          <w:szCs w:val="28"/>
          <w:u w:val="none"/>
        </w:rPr>
        <w:t>甲方（采购人）：雅安市人民医院</w:t>
      </w:r>
    </w:p>
    <w:p w14:paraId="7CB5DCCA">
      <w:pPr>
        <w:keepNext w:val="0"/>
        <w:keepLines w:val="0"/>
        <w:pageBreakBefore w:val="0"/>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napToGrid w:val="0"/>
          <w:color w:val="auto"/>
          <w:sz w:val="28"/>
          <w:szCs w:val="28"/>
          <w:u w:val="none"/>
          <w:lang w:val="en-US" w:eastAsia="zh-CN"/>
        </w:rPr>
      </w:pPr>
      <w:r>
        <w:rPr>
          <w:rFonts w:hint="eastAsia" w:ascii="仿宋_GB2312" w:hAnsi="仿宋_GB2312" w:eastAsia="仿宋_GB2312" w:cs="仿宋_GB2312"/>
          <w:snapToGrid w:val="0"/>
          <w:color w:val="auto"/>
          <w:sz w:val="28"/>
          <w:szCs w:val="28"/>
          <w:u w:val="none"/>
        </w:rPr>
        <w:t>乙方（供货企业）：</w:t>
      </w:r>
    </w:p>
    <w:p w14:paraId="62A866D2">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highlight w:val="none"/>
          <w:u w:val="none"/>
          <w:lang w:eastAsia="zh-CN"/>
        </w:rPr>
      </w:pPr>
    </w:p>
    <w:p w14:paraId="3928B3E7">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highlight w:val="none"/>
          <w:u w:val="none"/>
        </w:rPr>
      </w:pPr>
      <w:r>
        <w:rPr>
          <w:rFonts w:hint="eastAsia" w:ascii="仿宋_GB2312" w:hAnsi="仿宋_GB2312" w:eastAsia="仿宋_GB2312" w:cs="仿宋_GB2312"/>
          <w:snapToGrid w:val="0"/>
          <w:color w:val="auto"/>
          <w:sz w:val="28"/>
          <w:szCs w:val="28"/>
          <w:highlight w:val="none"/>
          <w:u w:val="none"/>
          <w:lang w:eastAsia="zh-CN"/>
        </w:rPr>
        <w:t>根据《中华人民共和国民法典》及</w:t>
      </w:r>
      <w:r>
        <w:rPr>
          <w:rFonts w:hint="eastAsia" w:ascii="仿宋_GB2312" w:hAnsi="仿宋_GB2312" w:eastAsia="仿宋_GB2312" w:cs="仿宋_GB2312"/>
          <w:snapToGrid w:val="0"/>
          <w:color w:val="auto"/>
          <w:sz w:val="28"/>
          <w:szCs w:val="28"/>
          <w:highlight w:val="none"/>
          <w:u w:val="none"/>
        </w:rPr>
        <w:t>医用耗材集中采购</w:t>
      </w:r>
      <w:r>
        <w:rPr>
          <w:rFonts w:hint="eastAsia" w:ascii="仿宋_GB2312" w:hAnsi="仿宋_GB2312" w:eastAsia="仿宋_GB2312" w:cs="仿宋_GB2312"/>
          <w:snapToGrid w:val="0"/>
          <w:color w:val="auto"/>
          <w:sz w:val="28"/>
          <w:szCs w:val="28"/>
          <w:highlight w:val="none"/>
          <w:u w:val="none"/>
          <w:lang w:eastAsia="zh-CN"/>
        </w:rPr>
        <w:t>等相</w:t>
      </w:r>
      <w:r>
        <w:rPr>
          <w:rFonts w:hint="eastAsia" w:ascii="仿宋_GB2312" w:hAnsi="仿宋_GB2312" w:eastAsia="仿宋_GB2312" w:cs="仿宋_GB2312"/>
          <w:snapToGrid w:val="0"/>
          <w:color w:val="auto"/>
          <w:sz w:val="28"/>
          <w:szCs w:val="28"/>
          <w:highlight w:val="none"/>
          <w:u w:val="none"/>
        </w:rPr>
        <w:t>关</w:t>
      </w:r>
      <w:r>
        <w:rPr>
          <w:rFonts w:hint="eastAsia" w:ascii="仿宋_GB2312" w:hAnsi="仿宋_GB2312" w:eastAsia="仿宋_GB2312" w:cs="仿宋_GB2312"/>
          <w:snapToGrid w:val="0"/>
          <w:color w:val="auto"/>
          <w:sz w:val="28"/>
          <w:szCs w:val="28"/>
          <w:highlight w:val="none"/>
          <w:u w:val="none"/>
          <w:lang w:eastAsia="zh-CN"/>
        </w:rPr>
        <w:t>法律法规、</w:t>
      </w:r>
      <w:r>
        <w:rPr>
          <w:rFonts w:hint="eastAsia" w:ascii="仿宋_GB2312" w:hAnsi="仿宋_GB2312" w:eastAsia="仿宋_GB2312" w:cs="仿宋_GB2312"/>
          <w:snapToGrid w:val="0"/>
          <w:color w:val="auto"/>
          <w:sz w:val="28"/>
          <w:szCs w:val="28"/>
          <w:highlight w:val="none"/>
          <w:u w:val="none"/>
        </w:rPr>
        <w:t>文件规定</w:t>
      </w:r>
      <w:r>
        <w:rPr>
          <w:rFonts w:hint="eastAsia" w:ascii="仿宋_GB2312" w:hAnsi="仿宋_GB2312" w:eastAsia="仿宋_GB2312" w:cs="仿宋_GB2312"/>
          <w:snapToGrid w:val="0"/>
          <w:color w:val="auto"/>
          <w:sz w:val="28"/>
          <w:szCs w:val="28"/>
          <w:highlight w:val="none"/>
          <w:u w:val="none"/>
          <w:lang w:eastAsia="zh-CN"/>
        </w:rPr>
        <w:t>，</w:t>
      </w:r>
      <w:r>
        <w:rPr>
          <w:rFonts w:hint="eastAsia" w:ascii="仿宋_GB2312" w:hAnsi="仿宋_GB2312" w:eastAsia="仿宋_GB2312" w:cs="仿宋_GB2312"/>
          <w:snapToGrid w:val="0"/>
          <w:color w:val="auto"/>
          <w:sz w:val="28"/>
          <w:szCs w:val="28"/>
          <w:highlight w:val="none"/>
          <w:u w:val="none"/>
        </w:rPr>
        <w:t>甲乙双方本着自愿、平等、公平、诚信的原则,经协商一致签订本合同，共同遵守履行。</w:t>
      </w:r>
    </w:p>
    <w:p w14:paraId="6A6455F9">
      <w:pPr>
        <w:keepNext w:val="0"/>
        <w:keepLines w:val="0"/>
        <w:pageBreakBefore w:val="0"/>
        <w:widowControl/>
        <w:numPr>
          <w:ilvl w:val="0"/>
          <w:numId w:val="0"/>
        </w:numPr>
        <w:tabs>
          <w:tab w:val="left" w:pos="4005"/>
        </w:tabs>
        <w:kinsoku/>
        <w:wordWrap/>
        <w:overflowPunct/>
        <w:topLinePunct w:val="0"/>
        <w:autoSpaceDE/>
        <w:autoSpaceDN/>
        <w:bidi w:val="0"/>
        <w:adjustRightInd/>
        <w:spacing w:line="400" w:lineRule="exact"/>
        <w:ind w:firstLine="562" w:firstLineChars="200"/>
        <w:jc w:val="left"/>
        <w:textAlignment w:val="auto"/>
        <w:rPr>
          <w:rFonts w:hint="default"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b/>
          <w:bCs/>
          <w:color w:val="auto"/>
          <w:sz w:val="28"/>
          <w:szCs w:val="28"/>
          <w:highlight w:val="none"/>
          <w:u w:val="none"/>
          <w:lang w:val="zh-CN"/>
        </w:rPr>
        <w:t>一、合同产品</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i w:val="0"/>
          <w:iCs w:val="0"/>
          <w:caps w:val="0"/>
          <w:color w:val="auto"/>
          <w:spacing w:val="0"/>
          <w:sz w:val="28"/>
          <w:szCs w:val="28"/>
          <w:shd w:val="clear" w:fill="FFFFFF"/>
        </w:rPr>
        <w:t>项目编号：</w:t>
      </w:r>
      <w:r>
        <w:rPr>
          <w:rFonts w:hint="eastAsia" w:ascii="仿宋_GB2312" w:hAnsi="仿宋_GB2312" w:eastAsia="仿宋_GB2312" w:cs="仿宋_GB2312"/>
          <w:color w:val="auto"/>
          <w:sz w:val="28"/>
          <w:szCs w:val="28"/>
          <w:highlight w:val="none"/>
          <w:u w:val="none"/>
          <w:lang w:val="en-US" w:eastAsia="zh-CN"/>
        </w:rPr>
        <w:t>）</w:t>
      </w:r>
    </w:p>
    <w:p w14:paraId="74A4CE94">
      <w:pPr>
        <w:keepNext w:val="0"/>
        <w:keepLines w:val="0"/>
        <w:pageBreakBefore w:val="0"/>
        <w:widowControl/>
        <w:numPr>
          <w:ilvl w:val="0"/>
          <w:numId w:val="0"/>
        </w:numPr>
        <w:tabs>
          <w:tab w:val="left" w:pos="4005"/>
        </w:tabs>
        <w:kinsoku/>
        <w:wordWrap/>
        <w:overflowPunct/>
        <w:topLinePunct w:val="0"/>
        <w:autoSpaceDE/>
        <w:autoSpaceDN/>
        <w:bidi w:val="0"/>
        <w:adjustRightInd/>
        <w:spacing w:line="400" w:lineRule="exact"/>
        <w:ind w:firstLine="560" w:firstLineChars="200"/>
        <w:jc w:val="left"/>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1.产品信息表（如下）：</w:t>
      </w:r>
    </w:p>
    <w:tbl>
      <w:tblPr>
        <w:tblStyle w:val="7"/>
        <w:tblpPr w:leftFromText="180" w:rightFromText="180" w:vertAnchor="text" w:horzAnchor="page" w:tblpX="850" w:tblpY="278"/>
        <w:tblW w:w="107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35"/>
        <w:gridCol w:w="914"/>
        <w:gridCol w:w="1024"/>
        <w:gridCol w:w="1024"/>
        <w:gridCol w:w="819"/>
        <w:gridCol w:w="930"/>
        <w:gridCol w:w="851"/>
        <w:gridCol w:w="1003"/>
        <w:gridCol w:w="716"/>
        <w:gridCol w:w="533"/>
        <w:gridCol w:w="756"/>
        <w:gridCol w:w="599"/>
      </w:tblGrid>
      <w:tr w14:paraId="60E2E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709" w:type="dxa"/>
            <w:tcBorders>
              <w:top w:val="single" w:color="auto" w:sz="4" w:space="0"/>
              <w:left w:val="single" w:color="auto" w:sz="4" w:space="0"/>
              <w:bottom w:val="single" w:color="auto" w:sz="4" w:space="0"/>
              <w:right w:val="single" w:color="auto" w:sz="4" w:space="0"/>
            </w:tcBorders>
            <w:vAlign w:val="center"/>
          </w:tcPr>
          <w:p w14:paraId="66B66554">
            <w:pPr>
              <w:widowControl/>
              <w:tabs>
                <w:tab w:val="left" w:pos="4005"/>
              </w:tabs>
              <w:spacing w:line="340" w:lineRule="exact"/>
              <w:jc w:val="center"/>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商品代码</w:t>
            </w:r>
          </w:p>
        </w:tc>
        <w:tc>
          <w:tcPr>
            <w:tcW w:w="835" w:type="dxa"/>
            <w:tcBorders>
              <w:top w:val="single" w:color="auto" w:sz="4" w:space="0"/>
              <w:left w:val="single" w:color="auto" w:sz="4" w:space="0"/>
              <w:bottom w:val="single" w:color="auto" w:sz="4" w:space="0"/>
              <w:right w:val="single" w:color="auto" w:sz="4" w:space="0"/>
            </w:tcBorders>
            <w:vAlign w:val="center"/>
          </w:tcPr>
          <w:p w14:paraId="4A899DE8">
            <w:pPr>
              <w:widowControl/>
              <w:tabs>
                <w:tab w:val="left" w:pos="4005"/>
              </w:tabs>
              <w:spacing w:line="340" w:lineRule="exact"/>
              <w:jc w:val="center"/>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产品ID</w:t>
            </w:r>
          </w:p>
        </w:tc>
        <w:tc>
          <w:tcPr>
            <w:tcW w:w="914" w:type="dxa"/>
            <w:tcBorders>
              <w:top w:val="single" w:color="auto" w:sz="4" w:space="0"/>
              <w:left w:val="single" w:color="auto" w:sz="4" w:space="0"/>
              <w:bottom w:val="single" w:color="auto" w:sz="4" w:space="0"/>
              <w:right w:val="single" w:color="auto" w:sz="4" w:space="0"/>
            </w:tcBorders>
            <w:vAlign w:val="center"/>
          </w:tcPr>
          <w:p w14:paraId="15C2BB84">
            <w:pPr>
              <w:widowControl/>
              <w:tabs>
                <w:tab w:val="left" w:pos="4005"/>
              </w:tabs>
              <w:spacing w:line="340" w:lineRule="exact"/>
              <w:jc w:val="center"/>
              <w:rPr>
                <w:rFonts w:hint="eastAsia" w:ascii="宋体" w:hAnsi="宋体" w:eastAsia="宋体" w:cs="宋体"/>
                <w:color w:val="auto"/>
                <w:sz w:val="18"/>
                <w:szCs w:val="18"/>
                <w:highlight w:val="none"/>
                <w:u w:val="none"/>
                <w:lang w:eastAsia="zh-CN"/>
              </w:rPr>
            </w:pPr>
            <w:r>
              <w:rPr>
                <w:rFonts w:hint="eastAsia" w:ascii="宋体" w:hAnsi="宋体" w:eastAsia="宋体" w:cs="宋体"/>
                <w:color w:val="auto"/>
                <w:sz w:val="18"/>
                <w:szCs w:val="18"/>
                <w:highlight w:val="none"/>
                <w:u w:val="none"/>
                <w:lang w:val="en-US" w:eastAsia="zh-CN"/>
              </w:rPr>
              <w:t>医保耗材代码</w:t>
            </w:r>
          </w:p>
        </w:tc>
        <w:tc>
          <w:tcPr>
            <w:tcW w:w="1024" w:type="dxa"/>
            <w:tcBorders>
              <w:top w:val="single" w:color="auto" w:sz="4" w:space="0"/>
              <w:left w:val="single" w:color="auto" w:sz="4" w:space="0"/>
              <w:bottom w:val="single" w:color="auto" w:sz="4" w:space="0"/>
              <w:right w:val="single" w:color="auto" w:sz="4" w:space="0"/>
            </w:tcBorders>
            <w:vAlign w:val="center"/>
          </w:tcPr>
          <w:p w14:paraId="16731BEB">
            <w:pPr>
              <w:widowControl/>
              <w:tabs>
                <w:tab w:val="left" w:pos="4005"/>
              </w:tabs>
              <w:spacing w:line="340" w:lineRule="exact"/>
              <w:jc w:val="center"/>
              <w:rPr>
                <w:rFonts w:hint="eastAsia" w:ascii="宋体" w:hAnsi="宋体" w:eastAsia="宋体" w:cs="宋体"/>
                <w:color w:val="auto"/>
                <w:sz w:val="18"/>
                <w:szCs w:val="18"/>
                <w:highlight w:val="none"/>
                <w:u w:val="none"/>
              </w:rPr>
            </w:pPr>
            <w:r>
              <w:rPr>
                <w:rFonts w:hint="eastAsia" w:ascii="宋体" w:hAnsi="宋体" w:eastAsia="宋体" w:cs="宋体"/>
                <w:color w:val="auto"/>
                <w:sz w:val="18"/>
                <w:szCs w:val="18"/>
                <w:highlight w:val="none"/>
                <w:u w:val="none"/>
              </w:rPr>
              <w:t>产品</w:t>
            </w:r>
            <w:r>
              <w:rPr>
                <w:rFonts w:hint="eastAsia" w:ascii="宋体" w:hAnsi="宋体" w:eastAsia="宋体" w:cs="宋体"/>
                <w:color w:val="auto"/>
                <w:sz w:val="18"/>
                <w:szCs w:val="18"/>
                <w:highlight w:val="none"/>
                <w:u w:val="none"/>
                <w:lang w:eastAsia="zh-CN"/>
              </w:rPr>
              <w:t>名称</w:t>
            </w:r>
          </w:p>
        </w:tc>
        <w:tc>
          <w:tcPr>
            <w:tcW w:w="1024" w:type="dxa"/>
            <w:tcBorders>
              <w:top w:val="single" w:color="auto" w:sz="4" w:space="0"/>
              <w:left w:val="single" w:color="auto" w:sz="4" w:space="0"/>
              <w:bottom w:val="single" w:color="auto" w:sz="4" w:space="0"/>
              <w:right w:val="single" w:color="auto" w:sz="4" w:space="0"/>
            </w:tcBorders>
            <w:vAlign w:val="center"/>
          </w:tcPr>
          <w:p w14:paraId="5D5AE2A8">
            <w:pPr>
              <w:widowControl/>
              <w:tabs>
                <w:tab w:val="left" w:pos="4005"/>
              </w:tabs>
              <w:spacing w:line="340" w:lineRule="exact"/>
              <w:jc w:val="center"/>
              <w:rPr>
                <w:rFonts w:hint="eastAsia" w:ascii="宋体" w:hAnsi="宋体" w:eastAsia="宋体" w:cs="宋体"/>
                <w:color w:val="auto"/>
                <w:sz w:val="18"/>
                <w:szCs w:val="18"/>
                <w:highlight w:val="none"/>
                <w:u w:val="none"/>
              </w:rPr>
            </w:pPr>
            <w:r>
              <w:rPr>
                <w:rFonts w:hint="eastAsia" w:ascii="宋体" w:hAnsi="宋体" w:eastAsia="宋体" w:cs="宋体"/>
                <w:color w:val="auto"/>
                <w:sz w:val="18"/>
                <w:szCs w:val="18"/>
                <w:highlight w:val="none"/>
                <w:u w:val="none"/>
              </w:rPr>
              <w:t>注册证号</w:t>
            </w:r>
            <w:r>
              <w:rPr>
                <w:rFonts w:hint="eastAsia" w:ascii="宋体" w:hAnsi="宋体" w:eastAsia="宋体" w:cs="宋体"/>
                <w:color w:val="auto"/>
                <w:sz w:val="18"/>
                <w:szCs w:val="18"/>
                <w:highlight w:val="none"/>
                <w:u w:val="none"/>
                <w:lang w:eastAsia="zh-CN"/>
              </w:rPr>
              <w:t>或</w:t>
            </w:r>
            <w:r>
              <w:rPr>
                <w:rFonts w:hint="eastAsia" w:ascii="宋体" w:hAnsi="宋体" w:eastAsia="宋体" w:cs="宋体"/>
                <w:color w:val="auto"/>
                <w:sz w:val="18"/>
                <w:szCs w:val="18"/>
                <w:highlight w:val="none"/>
                <w:u w:val="none"/>
              </w:rPr>
              <w:t>备案号</w:t>
            </w:r>
          </w:p>
        </w:tc>
        <w:tc>
          <w:tcPr>
            <w:tcW w:w="819" w:type="dxa"/>
            <w:tcBorders>
              <w:top w:val="single" w:color="auto" w:sz="4" w:space="0"/>
              <w:left w:val="single" w:color="auto" w:sz="4" w:space="0"/>
              <w:bottom w:val="single" w:color="auto" w:sz="4" w:space="0"/>
              <w:right w:val="single" w:color="auto" w:sz="4" w:space="0"/>
            </w:tcBorders>
            <w:vAlign w:val="center"/>
          </w:tcPr>
          <w:p w14:paraId="64ED492F">
            <w:pPr>
              <w:widowControl/>
              <w:tabs>
                <w:tab w:val="left" w:pos="4005"/>
              </w:tabs>
              <w:spacing w:line="340" w:lineRule="exact"/>
              <w:jc w:val="center"/>
              <w:rPr>
                <w:rFonts w:hint="eastAsia" w:ascii="宋体" w:hAnsi="宋体" w:eastAsia="宋体" w:cs="宋体"/>
                <w:color w:val="auto"/>
                <w:sz w:val="18"/>
                <w:szCs w:val="18"/>
                <w:highlight w:val="none"/>
                <w:u w:val="none"/>
              </w:rPr>
            </w:pPr>
            <w:r>
              <w:rPr>
                <w:rFonts w:hint="eastAsia" w:ascii="宋体" w:hAnsi="宋体" w:eastAsia="宋体" w:cs="宋体"/>
                <w:color w:val="auto"/>
                <w:sz w:val="18"/>
                <w:szCs w:val="18"/>
                <w:highlight w:val="none"/>
                <w:u w:val="none"/>
              </w:rPr>
              <w:t>注册证</w:t>
            </w:r>
            <w:r>
              <w:rPr>
                <w:rFonts w:hint="eastAsia" w:ascii="宋体" w:hAnsi="宋体" w:eastAsia="宋体" w:cs="宋体"/>
                <w:color w:val="auto"/>
                <w:sz w:val="18"/>
                <w:szCs w:val="18"/>
                <w:highlight w:val="none"/>
                <w:u w:val="none"/>
                <w:lang w:val="en-US" w:eastAsia="zh-CN"/>
              </w:rPr>
              <w:t xml:space="preserve">  </w:t>
            </w:r>
            <w:r>
              <w:rPr>
                <w:rFonts w:hint="eastAsia" w:ascii="宋体" w:hAnsi="宋体" w:eastAsia="宋体" w:cs="宋体"/>
                <w:color w:val="auto"/>
                <w:sz w:val="18"/>
                <w:szCs w:val="18"/>
                <w:highlight w:val="none"/>
                <w:u w:val="none"/>
              </w:rPr>
              <w:t>有效期</w:t>
            </w:r>
          </w:p>
        </w:tc>
        <w:tc>
          <w:tcPr>
            <w:tcW w:w="930" w:type="dxa"/>
            <w:tcBorders>
              <w:top w:val="single" w:color="auto" w:sz="4" w:space="0"/>
              <w:left w:val="single" w:color="auto" w:sz="4" w:space="0"/>
              <w:bottom w:val="single" w:color="auto" w:sz="4" w:space="0"/>
              <w:right w:val="single" w:color="auto" w:sz="4" w:space="0"/>
            </w:tcBorders>
            <w:vAlign w:val="center"/>
          </w:tcPr>
          <w:p w14:paraId="7840AA8D">
            <w:pPr>
              <w:widowControl/>
              <w:tabs>
                <w:tab w:val="left" w:pos="4005"/>
              </w:tabs>
              <w:spacing w:line="340" w:lineRule="exact"/>
              <w:jc w:val="center"/>
              <w:rPr>
                <w:rFonts w:hint="eastAsia" w:ascii="宋体" w:hAnsi="宋体" w:eastAsia="宋体" w:cs="宋体"/>
                <w:color w:val="auto"/>
                <w:sz w:val="18"/>
                <w:szCs w:val="18"/>
                <w:highlight w:val="none"/>
                <w:u w:val="none"/>
              </w:rPr>
            </w:pPr>
            <w:r>
              <w:rPr>
                <w:rFonts w:hint="eastAsia" w:ascii="宋体" w:hAnsi="宋体" w:eastAsia="宋体" w:cs="宋体"/>
                <w:color w:val="auto"/>
                <w:sz w:val="18"/>
                <w:szCs w:val="18"/>
                <w:highlight w:val="none"/>
                <w:u w:val="none"/>
              </w:rPr>
              <w:t>规格</w:t>
            </w:r>
          </w:p>
        </w:tc>
        <w:tc>
          <w:tcPr>
            <w:tcW w:w="851" w:type="dxa"/>
            <w:tcBorders>
              <w:top w:val="single" w:color="auto" w:sz="4" w:space="0"/>
              <w:left w:val="single" w:color="auto" w:sz="4" w:space="0"/>
              <w:bottom w:val="single" w:color="auto" w:sz="4" w:space="0"/>
              <w:right w:val="single" w:color="auto" w:sz="4" w:space="0"/>
            </w:tcBorders>
            <w:vAlign w:val="center"/>
          </w:tcPr>
          <w:p w14:paraId="6562CEC5">
            <w:pPr>
              <w:widowControl/>
              <w:tabs>
                <w:tab w:val="left" w:pos="4005"/>
              </w:tabs>
              <w:spacing w:line="340" w:lineRule="exact"/>
              <w:jc w:val="center"/>
              <w:rPr>
                <w:rFonts w:hint="eastAsia" w:ascii="宋体" w:hAnsi="宋体" w:eastAsia="宋体" w:cs="宋体"/>
                <w:color w:val="auto"/>
                <w:sz w:val="18"/>
                <w:szCs w:val="18"/>
                <w:highlight w:val="none"/>
                <w:u w:val="none"/>
                <w:lang w:eastAsia="zh-CN"/>
              </w:rPr>
            </w:pPr>
            <w:r>
              <w:rPr>
                <w:rFonts w:hint="eastAsia" w:ascii="宋体" w:hAnsi="宋体" w:eastAsia="宋体" w:cs="宋体"/>
                <w:b w:val="0"/>
                <w:bCs w:val="0"/>
                <w:color w:val="auto"/>
                <w:sz w:val="18"/>
                <w:szCs w:val="18"/>
                <w:highlight w:val="none"/>
                <w:u w:val="none"/>
                <w:lang w:eastAsia="zh-CN"/>
              </w:rPr>
              <w:t>型号</w:t>
            </w:r>
          </w:p>
        </w:tc>
        <w:tc>
          <w:tcPr>
            <w:tcW w:w="1003" w:type="dxa"/>
            <w:tcBorders>
              <w:top w:val="single" w:color="auto" w:sz="4" w:space="0"/>
              <w:left w:val="single" w:color="auto" w:sz="4" w:space="0"/>
              <w:bottom w:val="single" w:color="auto" w:sz="4" w:space="0"/>
              <w:right w:val="single" w:color="auto" w:sz="4" w:space="0"/>
            </w:tcBorders>
            <w:vAlign w:val="center"/>
          </w:tcPr>
          <w:p w14:paraId="0859BEFE">
            <w:pPr>
              <w:widowControl/>
              <w:tabs>
                <w:tab w:val="left" w:pos="4005"/>
              </w:tabs>
              <w:spacing w:line="340" w:lineRule="exact"/>
              <w:jc w:val="center"/>
              <w:rPr>
                <w:rFonts w:hint="eastAsia" w:ascii="宋体" w:hAnsi="宋体" w:eastAsia="宋体" w:cs="宋体"/>
                <w:color w:val="auto"/>
                <w:sz w:val="18"/>
                <w:szCs w:val="18"/>
                <w:highlight w:val="none"/>
                <w:u w:val="none"/>
                <w:lang w:eastAsia="zh-CN"/>
              </w:rPr>
            </w:pPr>
            <w:r>
              <w:rPr>
                <w:rFonts w:hint="eastAsia" w:ascii="宋体" w:hAnsi="宋体" w:eastAsia="宋体" w:cs="宋体"/>
                <w:color w:val="auto"/>
                <w:sz w:val="18"/>
                <w:szCs w:val="18"/>
                <w:highlight w:val="none"/>
                <w:u w:val="none"/>
              </w:rPr>
              <w:t>生产企业名称</w:t>
            </w:r>
          </w:p>
        </w:tc>
        <w:tc>
          <w:tcPr>
            <w:tcW w:w="716" w:type="dxa"/>
            <w:tcBorders>
              <w:top w:val="single" w:color="auto" w:sz="4" w:space="0"/>
              <w:left w:val="single" w:color="auto" w:sz="4" w:space="0"/>
              <w:bottom w:val="single" w:color="auto" w:sz="4" w:space="0"/>
              <w:right w:val="single" w:color="auto" w:sz="4" w:space="0"/>
            </w:tcBorders>
            <w:vAlign w:val="center"/>
          </w:tcPr>
          <w:p w14:paraId="2A7A5CDC">
            <w:pPr>
              <w:widowControl/>
              <w:tabs>
                <w:tab w:val="left" w:pos="4005"/>
              </w:tabs>
              <w:spacing w:line="340" w:lineRule="exact"/>
              <w:rPr>
                <w:rFonts w:hint="eastAsia" w:ascii="宋体" w:hAnsi="宋体" w:eastAsia="宋体" w:cs="宋体"/>
                <w:color w:val="auto"/>
                <w:sz w:val="18"/>
                <w:szCs w:val="18"/>
                <w:highlight w:val="none"/>
                <w:u w:val="none"/>
                <w:lang w:eastAsia="zh-CN"/>
              </w:rPr>
            </w:pPr>
            <w:r>
              <w:rPr>
                <w:rFonts w:hint="eastAsia" w:ascii="宋体" w:hAnsi="宋体" w:eastAsia="宋体" w:cs="宋体"/>
                <w:color w:val="auto"/>
                <w:sz w:val="18"/>
                <w:szCs w:val="18"/>
                <w:highlight w:val="none"/>
                <w:u w:val="none"/>
                <w:lang w:eastAsia="zh-CN"/>
              </w:rPr>
              <w:t>品</w:t>
            </w:r>
            <w:r>
              <w:rPr>
                <w:rFonts w:hint="eastAsia" w:ascii="宋体" w:hAnsi="宋体" w:eastAsia="宋体" w:cs="宋体"/>
                <w:color w:val="auto"/>
                <w:sz w:val="18"/>
                <w:szCs w:val="18"/>
                <w:highlight w:val="none"/>
                <w:u w:val="none"/>
              </w:rPr>
              <w:t>牌</w:t>
            </w:r>
          </w:p>
        </w:tc>
        <w:tc>
          <w:tcPr>
            <w:tcW w:w="533" w:type="dxa"/>
            <w:tcBorders>
              <w:top w:val="single" w:color="auto" w:sz="4" w:space="0"/>
              <w:left w:val="single" w:color="auto" w:sz="4" w:space="0"/>
              <w:bottom w:val="single" w:color="auto" w:sz="4" w:space="0"/>
              <w:right w:val="single" w:color="auto" w:sz="4" w:space="0"/>
            </w:tcBorders>
            <w:vAlign w:val="center"/>
          </w:tcPr>
          <w:p w14:paraId="7CAAAE8F">
            <w:pPr>
              <w:widowControl/>
              <w:tabs>
                <w:tab w:val="left" w:pos="4005"/>
              </w:tabs>
              <w:spacing w:line="340" w:lineRule="exact"/>
              <w:jc w:val="center"/>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单位</w:t>
            </w:r>
          </w:p>
        </w:tc>
        <w:tc>
          <w:tcPr>
            <w:tcW w:w="756" w:type="dxa"/>
            <w:tcBorders>
              <w:top w:val="single" w:color="auto" w:sz="4" w:space="0"/>
              <w:left w:val="single" w:color="auto" w:sz="4" w:space="0"/>
              <w:bottom w:val="single" w:color="auto" w:sz="4" w:space="0"/>
              <w:right w:val="single" w:color="auto" w:sz="4" w:space="0"/>
            </w:tcBorders>
            <w:vAlign w:val="center"/>
          </w:tcPr>
          <w:p w14:paraId="7DD2EE5C">
            <w:pPr>
              <w:widowControl/>
              <w:tabs>
                <w:tab w:val="left" w:pos="4005"/>
              </w:tabs>
              <w:spacing w:line="340" w:lineRule="exact"/>
              <w:jc w:val="center"/>
              <w:rPr>
                <w:rFonts w:hint="eastAsia" w:ascii="宋体" w:hAnsi="宋体" w:eastAsia="宋体" w:cs="宋体"/>
                <w:color w:val="auto"/>
                <w:sz w:val="18"/>
                <w:szCs w:val="18"/>
                <w:highlight w:val="none"/>
                <w:u w:val="none"/>
                <w:lang w:val="en-US" w:eastAsia="zh-CN"/>
              </w:rPr>
            </w:pPr>
            <w:r>
              <w:rPr>
                <w:rFonts w:hint="eastAsia" w:ascii="宋体" w:hAnsi="宋体" w:eastAsia="宋体" w:cs="宋体"/>
                <w:color w:val="auto"/>
                <w:sz w:val="18"/>
                <w:szCs w:val="18"/>
                <w:highlight w:val="none"/>
                <w:u w:val="none"/>
                <w:lang w:val="en-US" w:eastAsia="zh-CN"/>
              </w:rPr>
              <w:t>单价（元）</w:t>
            </w:r>
          </w:p>
        </w:tc>
        <w:tc>
          <w:tcPr>
            <w:tcW w:w="599" w:type="dxa"/>
            <w:tcBorders>
              <w:top w:val="single" w:color="auto" w:sz="4" w:space="0"/>
              <w:left w:val="single" w:color="auto" w:sz="4" w:space="0"/>
              <w:bottom w:val="single" w:color="auto" w:sz="4" w:space="0"/>
              <w:right w:val="single" w:color="auto" w:sz="4" w:space="0"/>
            </w:tcBorders>
            <w:vAlign w:val="center"/>
          </w:tcPr>
          <w:p w14:paraId="59F106BE">
            <w:pPr>
              <w:widowControl/>
              <w:tabs>
                <w:tab w:val="left" w:pos="4005"/>
              </w:tabs>
              <w:spacing w:line="340" w:lineRule="exact"/>
              <w:jc w:val="center"/>
              <w:rPr>
                <w:rFonts w:hint="eastAsia" w:ascii="宋体" w:hAnsi="宋体" w:eastAsia="宋体" w:cs="宋体"/>
                <w:color w:val="auto"/>
                <w:sz w:val="18"/>
                <w:szCs w:val="18"/>
                <w:highlight w:val="none"/>
                <w:u w:val="none"/>
                <w:lang w:eastAsia="zh-CN"/>
              </w:rPr>
            </w:pPr>
            <w:r>
              <w:rPr>
                <w:rFonts w:hint="eastAsia" w:ascii="宋体" w:hAnsi="宋体" w:eastAsia="宋体" w:cs="宋体"/>
                <w:color w:val="auto"/>
                <w:sz w:val="18"/>
                <w:szCs w:val="18"/>
                <w:highlight w:val="none"/>
                <w:u w:val="none"/>
                <w:lang w:eastAsia="zh-CN"/>
              </w:rPr>
              <w:t>备注</w:t>
            </w:r>
          </w:p>
        </w:tc>
      </w:tr>
      <w:tr w14:paraId="6ABC0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709" w:type="dxa"/>
            <w:tcBorders>
              <w:top w:val="single" w:color="auto" w:sz="4" w:space="0"/>
              <w:left w:val="single" w:color="auto" w:sz="4" w:space="0"/>
              <w:bottom w:val="single" w:color="auto" w:sz="4" w:space="0"/>
              <w:right w:val="single" w:color="auto" w:sz="4" w:space="0"/>
            </w:tcBorders>
            <w:vAlign w:val="center"/>
          </w:tcPr>
          <w:p w14:paraId="12ED0E2C">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835" w:type="dxa"/>
            <w:tcBorders>
              <w:top w:val="single" w:color="auto" w:sz="4" w:space="0"/>
              <w:left w:val="single" w:color="auto" w:sz="4" w:space="0"/>
              <w:bottom w:val="single" w:color="auto" w:sz="4" w:space="0"/>
              <w:right w:val="single" w:color="auto" w:sz="4" w:space="0"/>
            </w:tcBorders>
            <w:vAlign w:val="center"/>
          </w:tcPr>
          <w:p w14:paraId="20EB7705">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914" w:type="dxa"/>
            <w:tcBorders>
              <w:top w:val="single" w:color="auto" w:sz="4" w:space="0"/>
              <w:left w:val="single" w:color="auto" w:sz="4" w:space="0"/>
              <w:bottom w:val="single" w:color="auto" w:sz="4" w:space="0"/>
              <w:right w:val="single" w:color="auto" w:sz="4" w:space="0"/>
            </w:tcBorders>
            <w:vAlign w:val="center"/>
          </w:tcPr>
          <w:p w14:paraId="7076E9F7">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1024" w:type="dxa"/>
            <w:tcBorders>
              <w:top w:val="single" w:color="auto" w:sz="4" w:space="0"/>
              <w:left w:val="single" w:color="auto" w:sz="4" w:space="0"/>
              <w:bottom w:val="single" w:color="auto" w:sz="4" w:space="0"/>
              <w:right w:val="single" w:color="auto" w:sz="4" w:space="0"/>
            </w:tcBorders>
            <w:vAlign w:val="center"/>
          </w:tcPr>
          <w:p w14:paraId="42389EF5">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1024" w:type="dxa"/>
            <w:tcBorders>
              <w:top w:val="single" w:color="auto" w:sz="4" w:space="0"/>
              <w:left w:val="single" w:color="auto" w:sz="4" w:space="0"/>
              <w:bottom w:val="single" w:color="auto" w:sz="4" w:space="0"/>
              <w:right w:val="single" w:color="auto" w:sz="4" w:space="0"/>
            </w:tcBorders>
            <w:vAlign w:val="center"/>
          </w:tcPr>
          <w:p w14:paraId="179466AB">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819" w:type="dxa"/>
            <w:tcBorders>
              <w:top w:val="single" w:color="auto" w:sz="4" w:space="0"/>
              <w:left w:val="single" w:color="auto" w:sz="4" w:space="0"/>
              <w:bottom w:val="single" w:color="auto" w:sz="4" w:space="0"/>
              <w:right w:val="single" w:color="auto" w:sz="4" w:space="0"/>
            </w:tcBorders>
            <w:vAlign w:val="center"/>
          </w:tcPr>
          <w:p w14:paraId="510E4E0D">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930" w:type="dxa"/>
            <w:tcBorders>
              <w:top w:val="single" w:color="auto" w:sz="4" w:space="0"/>
              <w:left w:val="single" w:color="auto" w:sz="4" w:space="0"/>
              <w:bottom w:val="single" w:color="auto" w:sz="4" w:space="0"/>
              <w:right w:val="single" w:color="auto" w:sz="4" w:space="0"/>
            </w:tcBorders>
            <w:vAlign w:val="center"/>
          </w:tcPr>
          <w:p w14:paraId="2CF392F3">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851" w:type="dxa"/>
            <w:tcBorders>
              <w:top w:val="single" w:color="auto" w:sz="4" w:space="0"/>
              <w:left w:val="single" w:color="auto" w:sz="4" w:space="0"/>
              <w:bottom w:val="single" w:color="auto" w:sz="4" w:space="0"/>
              <w:right w:val="single" w:color="auto" w:sz="4" w:space="0"/>
            </w:tcBorders>
            <w:vAlign w:val="center"/>
          </w:tcPr>
          <w:p w14:paraId="64EB8AD8">
            <w:pPr>
              <w:widowControl/>
              <w:tabs>
                <w:tab w:val="left" w:pos="4005"/>
              </w:tabs>
              <w:spacing w:line="340" w:lineRule="exact"/>
              <w:jc w:val="center"/>
              <w:rPr>
                <w:rFonts w:hint="eastAsia" w:ascii="仿宋_GB2312" w:hAnsi="仿宋_GB2312" w:eastAsia="仿宋_GB2312" w:cs="仿宋_GB2312"/>
                <w:b w:val="0"/>
                <w:bCs w:val="0"/>
                <w:color w:val="auto"/>
                <w:sz w:val="24"/>
                <w:szCs w:val="24"/>
                <w:highlight w:val="none"/>
                <w:u w:val="none"/>
                <w:lang w:val="en-US" w:eastAsia="zh-CN"/>
              </w:rPr>
            </w:pPr>
          </w:p>
        </w:tc>
        <w:tc>
          <w:tcPr>
            <w:tcW w:w="1003" w:type="dxa"/>
            <w:tcBorders>
              <w:top w:val="single" w:color="auto" w:sz="4" w:space="0"/>
              <w:left w:val="single" w:color="auto" w:sz="4" w:space="0"/>
              <w:bottom w:val="single" w:color="auto" w:sz="4" w:space="0"/>
              <w:right w:val="single" w:color="auto" w:sz="4" w:space="0"/>
            </w:tcBorders>
            <w:vAlign w:val="center"/>
          </w:tcPr>
          <w:p w14:paraId="134DA907">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eastAsia="zh-CN"/>
              </w:rPr>
            </w:pPr>
          </w:p>
        </w:tc>
        <w:tc>
          <w:tcPr>
            <w:tcW w:w="716" w:type="dxa"/>
            <w:tcBorders>
              <w:top w:val="single" w:color="auto" w:sz="4" w:space="0"/>
              <w:left w:val="single" w:color="auto" w:sz="4" w:space="0"/>
              <w:bottom w:val="single" w:color="auto" w:sz="4" w:space="0"/>
              <w:right w:val="single" w:color="auto" w:sz="4" w:space="0"/>
            </w:tcBorders>
            <w:vAlign w:val="center"/>
          </w:tcPr>
          <w:p w14:paraId="2BF36D92">
            <w:pPr>
              <w:widowControl/>
              <w:tabs>
                <w:tab w:val="left" w:pos="4005"/>
              </w:tabs>
              <w:spacing w:line="340" w:lineRule="exact"/>
              <w:rPr>
                <w:rFonts w:hint="eastAsia" w:ascii="仿宋_GB2312" w:hAnsi="仿宋_GB2312" w:eastAsia="仿宋_GB2312" w:cs="仿宋_GB2312"/>
                <w:color w:val="auto"/>
                <w:sz w:val="24"/>
                <w:szCs w:val="24"/>
                <w:highlight w:val="none"/>
                <w:u w:val="none"/>
                <w:lang w:eastAsia="zh-CN"/>
              </w:rPr>
            </w:pPr>
          </w:p>
        </w:tc>
        <w:tc>
          <w:tcPr>
            <w:tcW w:w="533" w:type="dxa"/>
            <w:tcBorders>
              <w:top w:val="single" w:color="auto" w:sz="4" w:space="0"/>
              <w:left w:val="single" w:color="auto" w:sz="4" w:space="0"/>
              <w:bottom w:val="single" w:color="auto" w:sz="4" w:space="0"/>
              <w:right w:val="single" w:color="auto" w:sz="4" w:space="0"/>
            </w:tcBorders>
            <w:vAlign w:val="center"/>
          </w:tcPr>
          <w:p w14:paraId="15B7F5D4">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756" w:type="dxa"/>
            <w:tcBorders>
              <w:top w:val="single" w:color="auto" w:sz="4" w:space="0"/>
              <w:left w:val="single" w:color="auto" w:sz="4" w:space="0"/>
              <w:bottom w:val="single" w:color="auto" w:sz="4" w:space="0"/>
              <w:right w:val="single" w:color="auto" w:sz="4" w:space="0"/>
            </w:tcBorders>
            <w:vAlign w:val="center"/>
          </w:tcPr>
          <w:p w14:paraId="1AC80ED5">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val="en-US" w:eastAsia="zh-CN"/>
              </w:rPr>
            </w:pPr>
          </w:p>
        </w:tc>
        <w:tc>
          <w:tcPr>
            <w:tcW w:w="599" w:type="dxa"/>
            <w:tcBorders>
              <w:top w:val="single" w:color="auto" w:sz="4" w:space="0"/>
              <w:left w:val="single" w:color="auto" w:sz="4" w:space="0"/>
              <w:bottom w:val="single" w:color="auto" w:sz="4" w:space="0"/>
              <w:right w:val="single" w:color="auto" w:sz="4" w:space="0"/>
            </w:tcBorders>
            <w:vAlign w:val="center"/>
          </w:tcPr>
          <w:p w14:paraId="6C55EB76">
            <w:pPr>
              <w:widowControl/>
              <w:tabs>
                <w:tab w:val="left" w:pos="4005"/>
              </w:tabs>
              <w:spacing w:line="340" w:lineRule="exact"/>
              <w:jc w:val="center"/>
              <w:rPr>
                <w:rFonts w:hint="eastAsia" w:ascii="仿宋_GB2312" w:hAnsi="仿宋_GB2312" w:eastAsia="仿宋_GB2312" w:cs="仿宋_GB2312"/>
                <w:color w:val="auto"/>
                <w:sz w:val="24"/>
                <w:szCs w:val="24"/>
                <w:highlight w:val="none"/>
                <w:u w:val="none"/>
                <w:lang w:eastAsia="zh-CN"/>
              </w:rPr>
            </w:pPr>
          </w:p>
        </w:tc>
      </w:tr>
    </w:tbl>
    <w:p w14:paraId="40C68132">
      <w:pPr>
        <w:keepNext w:val="0"/>
        <w:keepLines w:val="0"/>
        <w:pageBreakBefore w:val="0"/>
        <w:widowControl/>
        <w:tabs>
          <w:tab w:val="left" w:pos="4005"/>
        </w:tabs>
        <w:kinsoku/>
        <w:wordWrap/>
        <w:overflowPunct/>
        <w:topLinePunct w:val="0"/>
        <w:autoSpaceDE/>
        <w:autoSpaceDN/>
        <w:bidi w:val="0"/>
        <w:adjustRightInd/>
        <w:spacing w:line="400" w:lineRule="exact"/>
        <w:ind w:firstLine="0"/>
        <w:jc w:val="lef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备注：（1）产品名称及规格型号必须与注册证名称、规格型号一致。</w:t>
      </w:r>
    </w:p>
    <w:p w14:paraId="208234DD">
      <w:pPr>
        <w:keepNext w:val="0"/>
        <w:keepLines w:val="0"/>
        <w:pageBreakBefore w:val="0"/>
        <w:widowControl/>
        <w:tabs>
          <w:tab w:val="left" w:pos="4005"/>
        </w:tabs>
        <w:kinsoku/>
        <w:wordWrap/>
        <w:overflowPunct/>
        <w:topLinePunct w:val="0"/>
        <w:autoSpaceDE/>
        <w:autoSpaceDN/>
        <w:bidi w:val="0"/>
        <w:adjustRightInd/>
        <w:spacing w:line="400" w:lineRule="exact"/>
        <w:ind w:firstLine="560" w:firstLineChars="200"/>
        <w:jc w:val="lef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kern w:val="0"/>
          <w:sz w:val="28"/>
          <w:szCs w:val="28"/>
          <w:u w:val="none"/>
          <w:lang w:eastAsia="zh-CN"/>
        </w:rPr>
        <w:t>（</w:t>
      </w:r>
      <w:r>
        <w:rPr>
          <w:rFonts w:hint="eastAsia" w:ascii="仿宋_GB2312" w:hAnsi="仿宋_GB2312" w:eastAsia="仿宋_GB2312" w:cs="仿宋_GB2312"/>
          <w:color w:val="auto"/>
          <w:kern w:val="0"/>
          <w:sz w:val="28"/>
          <w:szCs w:val="28"/>
          <w:u w:val="none"/>
          <w:lang w:val="en-US" w:eastAsia="zh-CN"/>
        </w:rPr>
        <w:t>2</w:t>
      </w:r>
      <w:r>
        <w:rPr>
          <w:rFonts w:hint="eastAsia" w:ascii="仿宋_GB2312" w:hAnsi="仿宋_GB2312" w:eastAsia="仿宋_GB2312" w:cs="仿宋_GB2312"/>
          <w:color w:val="auto"/>
          <w:kern w:val="0"/>
          <w:sz w:val="28"/>
          <w:szCs w:val="28"/>
          <w:u w:val="none"/>
          <w:lang w:eastAsia="zh-CN"/>
        </w:rPr>
        <w:t>）产品</w:t>
      </w:r>
      <w:r>
        <w:rPr>
          <w:rFonts w:hint="eastAsia" w:ascii="仿宋_GB2312" w:hAnsi="仿宋_GB2312" w:eastAsia="仿宋_GB2312" w:cs="仿宋_GB2312"/>
          <w:color w:val="auto"/>
          <w:kern w:val="0"/>
          <w:sz w:val="28"/>
          <w:szCs w:val="28"/>
          <w:u w:val="none"/>
        </w:rPr>
        <w:t>品种过多</w:t>
      </w:r>
      <w:r>
        <w:rPr>
          <w:rFonts w:hint="eastAsia" w:ascii="仿宋_GB2312" w:hAnsi="仿宋_GB2312" w:eastAsia="仿宋_GB2312" w:cs="仿宋_GB2312"/>
          <w:color w:val="auto"/>
          <w:kern w:val="0"/>
          <w:sz w:val="28"/>
          <w:szCs w:val="28"/>
          <w:u w:val="none"/>
          <w:lang w:eastAsia="zh-CN"/>
        </w:rPr>
        <w:t>需另附《产品信息表》作为附件时，附件</w:t>
      </w:r>
      <w:r>
        <w:rPr>
          <w:rFonts w:hint="eastAsia" w:ascii="仿宋_GB2312" w:hAnsi="仿宋_GB2312" w:eastAsia="仿宋_GB2312" w:cs="仿宋_GB2312"/>
          <w:color w:val="auto"/>
          <w:kern w:val="0"/>
          <w:sz w:val="28"/>
          <w:szCs w:val="28"/>
          <w:u w:val="none"/>
          <w:lang w:val="en-US" w:eastAsia="zh-CN"/>
        </w:rPr>
        <w:t>为本合同组成部分，</w:t>
      </w:r>
      <w:r>
        <w:rPr>
          <w:rFonts w:hint="eastAsia" w:ascii="仿宋_GB2312" w:hAnsi="仿宋_GB2312" w:eastAsia="仿宋_GB2312" w:cs="仿宋_GB2312"/>
          <w:color w:val="auto"/>
          <w:kern w:val="0"/>
          <w:sz w:val="28"/>
          <w:szCs w:val="28"/>
          <w:u w:val="none"/>
          <w:lang w:eastAsia="zh-CN"/>
        </w:rPr>
        <w:t>与本合同具有同等法律效力。</w:t>
      </w:r>
    </w:p>
    <w:p w14:paraId="46C665A9">
      <w:pPr>
        <w:keepNext w:val="0"/>
        <w:keepLines w:val="0"/>
        <w:pageBreakBefore w:val="0"/>
        <w:widowControl/>
        <w:tabs>
          <w:tab w:val="left" w:pos="4005"/>
        </w:tabs>
        <w:kinsoku/>
        <w:wordWrap/>
        <w:overflowPunct/>
        <w:topLinePunct w:val="0"/>
        <w:autoSpaceDE/>
        <w:autoSpaceDN/>
        <w:bidi w:val="0"/>
        <w:adjustRightInd/>
        <w:spacing w:line="400" w:lineRule="exact"/>
        <w:ind w:firstLine="645"/>
        <w:jc w:val="left"/>
        <w:textAlignment w:val="auto"/>
        <w:rPr>
          <w:rFonts w:hint="eastAsia" w:ascii="仿宋" w:hAnsi="仿宋" w:eastAsia="仿宋" w:cs="仿宋"/>
          <w:color w:val="auto"/>
          <w:sz w:val="28"/>
          <w:szCs w:val="28"/>
          <w:u w:val="none"/>
          <w:lang w:val="zh-CN"/>
        </w:rPr>
      </w:pPr>
      <w:r>
        <w:rPr>
          <w:rFonts w:hint="eastAsia" w:ascii="仿宋_GB2312" w:hAnsi="仿宋_GB2312" w:eastAsia="仿宋_GB2312" w:cs="仿宋_GB2312"/>
          <w:color w:val="auto"/>
          <w:sz w:val="28"/>
          <w:szCs w:val="28"/>
          <w:u w:val="none"/>
          <w:lang w:val="en-US" w:eastAsia="zh-CN"/>
        </w:rPr>
        <w:t>2.</w:t>
      </w:r>
      <w:r>
        <w:rPr>
          <w:rFonts w:hint="eastAsia" w:ascii="仿宋_GB2312" w:hAnsi="仿宋_GB2312" w:eastAsia="仿宋_GB2312" w:cs="仿宋_GB2312"/>
          <w:color w:val="auto"/>
          <w:sz w:val="28"/>
          <w:szCs w:val="28"/>
          <w:u w:val="none"/>
          <w:lang w:val="zh-CN"/>
        </w:rPr>
        <w:t>产品数量以实际采购量为准。</w:t>
      </w:r>
    </w:p>
    <w:p w14:paraId="639A20A8">
      <w:pPr>
        <w:keepNext w:val="0"/>
        <w:keepLines w:val="0"/>
        <w:pageBreakBefore w:val="0"/>
        <w:widowControl/>
        <w:tabs>
          <w:tab w:val="left" w:pos="4005"/>
        </w:tabs>
        <w:kinsoku/>
        <w:wordWrap/>
        <w:overflowPunct/>
        <w:topLinePunct w:val="0"/>
        <w:autoSpaceDE/>
        <w:autoSpaceDN/>
        <w:bidi w:val="0"/>
        <w:adjustRightInd/>
        <w:spacing w:line="400" w:lineRule="exact"/>
        <w:ind w:firstLine="645"/>
        <w:jc w:val="left"/>
        <w:textAlignment w:val="auto"/>
        <w:rPr>
          <w:rFonts w:ascii="黑体" w:hAnsi="黑体" w:eastAsia="黑体"/>
          <w:color w:val="auto"/>
          <w:sz w:val="28"/>
          <w:szCs w:val="28"/>
          <w:u w:val="none"/>
          <w:lang w:val="zh-CN"/>
        </w:rPr>
      </w:pPr>
      <w:r>
        <w:rPr>
          <w:rFonts w:hint="eastAsia" w:ascii="黑体" w:hAnsi="黑体" w:eastAsia="黑体"/>
          <w:color w:val="auto"/>
          <w:sz w:val="28"/>
          <w:szCs w:val="28"/>
          <w:u w:val="none"/>
          <w:lang w:val="zh-CN"/>
        </w:rPr>
        <w:t>二、合同价格</w:t>
      </w:r>
    </w:p>
    <w:p w14:paraId="51793902">
      <w:pPr>
        <w:keepNext w:val="0"/>
        <w:keepLines w:val="0"/>
        <w:pageBreakBefore w:val="0"/>
        <w:widowControl/>
        <w:kinsoku/>
        <w:wordWrap/>
        <w:overflowPunct/>
        <w:topLinePunct w:val="0"/>
        <w:autoSpaceDE/>
        <w:autoSpaceDN/>
        <w:bidi w:val="0"/>
        <w:adjustRightInd/>
        <w:snapToGrid/>
        <w:spacing w:line="400" w:lineRule="exact"/>
        <w:ind w:left="0" w:leftChars="0" w:firstLine="618" w:firstLineChars="221"/>
        <w:jc w:val="left"/>
        <w:textAlignment w:val="auto"/>
        <w:rPr>
          <w:rFonts w:hint="eastAsia" w:ascii="仿宋_GB2312" w:hAnsi="仿宋_GB2312" w:eastAsia="仿宋_GB2312" w:cs="仿宋_GB2312"/>
          <w:snapToGrid w:val="0"/>
          <w:color w:val="auto"/>
          <w:sz w:val="28"/>
          <w:szCs w:val="28"/>
          <w:u w:val="none"/>
          <w:lang w:val="en-US" w:eastAsia="zh-CN"/>
        </w:rPr>
      </w:pPr>
      <w:r>
        <w:rPr>
          <w:rFonts w:hint="eastAsia" w:ascii="仿宋_GB2312" w:hAnsi="仿宋_GB2312" w:eastAsia="仿宋_GB2312" w:cs="仿宋_GB2312"/>
          <w:snapToGrid w:val="0"/>
          <w:color w:val="auto"/>
          <w:sz w:val="28"/>
          <w:szCs w:val="28"/>
          <w:u w:val="none"/>
          <w:lang w:val="en-US" w:eastAsia="zh-CN"/>
        </w:rPr>
        <w:t>1.</w:t>
      </w:r>
      <w:r>
        <w:rPr>
          <w:rFonts w:hint="eastAsia" w:ascii="仿宋_GB2312" w:hAnsi="仿宋_GB2312" w:eastAsia="仿宋_GB2312" w:cs="仿宋_GB2312"/>
          <w:snapToGrid w:val="0"/>
          <w:color w:val="auto"/>
          <w:sz w:val="28"/>
          <w:szCs w:val="28"/>
          <w:u w:val="none"/>
          <w:lang w:eastAsia="zh-CN"/>
        </w:rPr>
        <w:t>产品单价详见</w:t>
      </w:r>
      <w:r>
        <w:rPr>
          <w:rFonts w:hint="eastAsia" w:ascii="仿宋_GB2312" w:hAnsi="仿宋_GB2312" w:eastAsia="仿宋_GB2312" w:cs="仿宋_GB2312"/>
          <w:snapToGrid w:val="0"/>
          <w:color w:val="auto"/>
          <w:sz w:val="28"/>
          <w:szCs w:val="28"/>
          <w:u w:val="none"/>
          <w:lang w:val="en-US" w:eastAsia="zh-CN"/>
        </w:rPr>
        <w:t>本合同第一条1项产品信息表</w:t>
      </w:r>
      <w:r>
        <w:rPr>
          <w:rFonts w:hint="eastAsia" w:ascii="仿宋_GB2312" w:hAnsi="仿宋_GB2312" w:eastAsia="仿宋_GB2312" w:cs="仿宋_GB2312"/>
          <w:snapToGrid w:val="0"/>
          <w:color w:val="auto"/>
          <w:sz w:val="28"/>
          <w:szCs w:val="28"/>
          <w:u w:val="none"/>
          <w:lang w:eastAsia="zh-CN"/>
        </w:rPr>
        <w:t>，若属挂网产品应按相关政策执行。</w:t>
      </w:r>
      <w:r>
        <w:rPr>
          <w:rFonts w:hint="eastAsia" w:ascii="仿宋_GB2312" w:hAnsi="仿宋_GB2312" w:eastAsia="仿宋_GB2312" w:cs="仿宋_GB2312"/>
          <w:snapToGrid w:val="0"/>
          <w:color w:val="auto"/>
          <w:sz w:val="28"/>
          <w:szCs w:val="28"/>
          <w:u w:val="none"/>
          <w:lang w:val="en-US" w:eastAsia="zh-CN"/>
        </w:rPr>
        <w:t xml:space="preserve">   </w:t>
      </w:r>
    </w:p>
    <w:p w14:paraId="7834F675">
      <w:pPr>
        <w:keepNext w:val="0"/>
        <w:keepLines w:val="0"/>
        <w:pageBreakBefore w:val="0"/>
        <w:widowControl/>
        <w:kinsoku/>
        <w:wordWrap/>
        <w:overflowPunct/>
        <w:topLinePunct w:val="0"/>
        <w:autoSpaceDE/>
        <w:autoSpaceDN/>
        <w:bidi w:val="0"/>
        <w:adjustRightInd/>
        <w:snapToGrid/>
        <w:spacing w:line="400" w:lineRule="exact"/>
        <w:ind w:left="0" w:leftChars="0" w:firstLine="618" w:firstLineChars="221"/>
        <w:jc w:val="left"/>
        <w:textAlignment w:val="auto"/>
        <w:rPr>
          <w:rFonts w:hint="eastAsia" w:ascii="仿宋_GB2312" w:hAnsi="仿宋_GB2312" w:eastAsia="仿宋_GB2312" w:cs="仿宋_GB2312"/>
          <w:snapToGrid w:val="0"/>
          <w:color w:val="auto"/>
          <w:sz w:val="28"/>
          <w:szCs w:val="28"/>
          <w:u w:val="none"/>
          <w:lang w:eastAsia="zh-CN"/>
        </w:rPr>
      </w:pPr>
      <w:r>
        <w:rPr>
          <w:rFonts w:hint="eastAsia" w:ascii="仿宋_GB2312" w:hAnsi="仿宋_GB2312" w:eastAsia="仿宋_GB2312" w:cs="仿宋_GB2312"/>
          <w:snapToGrid w:val="0"/>
          <w:color w:val="auto"/>
          <w:sz w:val="28"/>
          <w:szCs w:val="28"/>
          <w:u w:val="none"/>
          <w:lang w:val="en-US" w:eastAsia="zh-CN"/>
        </w:rPr>
        <w:t>2.</w:t>
      </w:r>
      <w:r>
        <w:rPr>
          <w:rFonts w:hint="eastAsia" w:ascii="仿宋_GB2312" w:hAnsi="仿宋_GB2312" w:eastAsia="仿宋_GB2312" w:cs="仿宋_GB2312"/>
          <w:snapToGrid w:val="0"/>
          <w:color w:val="auto"/>
          <w:sz w:val="28"/>
          <w:szCs w:val="28"/>
          <w:u w:val="none"/>
          <w:lang w:eastAsia="zh-CN"/>
        </w:rPr>
        <w:t>合同总价，</w:t>
      </w:r>
      <w:r>
        <w:rPr>
          <w:rFonts w:hint="eastAsia" w:ascii="仿宋_GB2312" w:hAnsi="仿宋_GB2312" w:eastAsia="仿宋_GB2312" w:cs="仿宋_GB2312"/>
          <w:snapToGrid w:val="0"/>
          <w:color w:val="auto"/>
          <w:sz w:val="28"/>
          <w:szCs w:val="28"/>
          <w:u w:val="none"/>
          <w:lang w:val="en-US" w:eastAsia="zh-CN"/>
        </w:rPr>
        <w:t>最终</w:t>
      </w:r>
      <w:r>
        <w:rPr>
          <w:rFonts w:hint="eastAsia" w:ascii="仿宋_GB2312" w:hAnsi="仿宋_GB2312" w:eastAsia="仿宋_GB2312" w:cs="仿宋_GB2312"/>
          <w:snapToGrid w:val="0"/>
          <w:color w:val="auto"/>
          <w:sz w:val="28"/>
          <w:szCs w:val="28"/>
          <w:u w:val="none"/>
          <w:lang w:eastAsia="zh-CN"/>
        </w:rPr>
        <w:t>以</w:t>
      </w:r>
      <w:r>
        <w:rPr>
          <w:rFonts w:hint="eastAsia" w:ascii="仿宋_GB2312" w:hAnsi="仿宋_GB2312" w:eastAsia="仿宋_GB2312" w:cs="仿宋_GB2312"/>
          <w:snapToGrid w:val="0"/>
          <w:color w:val="auto"/>
          <w:sz w:val="28"/>
          <w:szCs w:val="28"/>
          <w:u w:val="none"/>
          <w:lang w:val="en-US" w:eastAsia="zh-CN"/>
        </w:rPr>
        <w:t>产品单价和</w:t>
      </w:r>
      <w:r>
        <w:rPr>
          <w:rFonts w:hint="eastAsia" w:ascii="仿宋_GB2312" w:hAnsi="仿宋_GB2312" w:eastAsia="仿宋_GB2312" w:cs="仿宋_GB2312"/>
          <w:snapToGrid w:val="0"/>
          <w:color w:val="auto"/>
          <w:sz w:val="28"/>
          <w:szCs w:val="28"/>
          <w:u w:val="none"/>
          <w:lang w:eastAsia="zh-CN"/>
        </w:rPr>
        <w:t>产品在合同有效期内实际采购量</w:t>
      </w:r>
      <w:r>
        <w:rPr>
          <w:rFonts w:hint="eastAsia" w:ascii="仿宋_GB2312" w:hAnsi="仿宋_GB2312" w:eastAsia="仿宋_GB2312" w:cs="仿宋_GB2312"/>
          <w:snapToGrid w:val="0"/>
          <w:color w:val="auto"/>
          <w:sz w:val="28"/>
          <w:szCs w:val="28"/>
          <w:u w:val="none"/>
          <w:lang w:val="en-US" w:eastAsia="zh-CN"/>
        </w:rPr>
        <w:t>确定的总价</w:t>
      </w:r>
      <w:r>
        <w:rPr>
          <w:rFonts w:hint="eastAsia" w:ascii="仿宋_GB2312" w:hAnsi="仿宋_GB2312" w:eastAsia="仿宋_GB2312" w:cs="仿宋_GB2312"/>
          <w:snapToGrid w:val="0"/>
          <w:color w:val="auto"/>
          <w:sz w:val="28"/>
          <w:szCs w:val="28"/>
          <w:u w:val="none"/>
          <w:lang w:eastAsia="zh-CN"/>
        </w:rPr>
        <w:t>为准。</w:t>
      </w:r>
    </w:p>
    <w:p w14:paraId="1ACC3A7E">
      <w:pPr>
        <w:pStyle w:val="3"/>
        <w:spacing w:after="0" w:line="400" w:lineRule="exact"/>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snapToGrid w:val="0"/>
          <w:color w:val="auto"/>
          <w:sz w:val="28"/>
          <w:szCs w:val="28"/>
          <w:u w:val="none"/>
          <w:lang w:val="en-US" w:eastAsia="zh-CN"/>
        </w:rPr>
        <w:t xml:space="preserve">    3.特别约定：合同中</w:t>
      </w:r>
      <w:r>
        <w:rPr>
          <w:rFonts w:hint="eastAsia" w:ascii="仿宋_GB2312" w:hAnsi="仿宋_GB2312" w:eastAsia="仿宋_GB2312" w:cs="仿宋_GB2312"/>
          <w:color w:val="auto"/>
          <w:kern w:val="2"/>
          <w:sz w:val="28"/>
          <w:szCs w:val="28"/>
          <w:highlight w:val="none"/>
          <w:u w:val="none"/>
          <w:lang w:val="en-US" w:eastAsia="zh-CN" w:bidi="ar-SA"/>
        </w:rPr>
        <w:t>联动采购的医用耗材的实际结算价格，不得高于联动参考价、本省最高参考价、本机构发生实际采购交易以来的最低采购价、该产品上月末全省医药机构采购平均价中的任一价格。</w:t>
      </w:r>
    </w:p>
    <w:p w14:paraId="700C4DE9">
      <w:pPr>
        <w:keepNext w:val="0"/>
        <w:keepLines w:val="0"/>
        <w:pageBreakBefore w:val="0"/>
        <w:widowControl/>
        <w:kinsoku/>
        <w:wordWrap/>
        <w:overflowPunct/>
        <w:topLinePunct w:val="0"/>
        <w:autoSpaceDE/>
        <w:autoSpaceDN/>
        <w:bidi w:val="0"/>
        <w:adjustRightInd/>
        <w:snapToGrid/>
        <w:spacing w:line="400" w:lineRule="exact"/>
        <w:ind w:left="0" w:leftChars="0" w:firstLine="618" w:firstLineChars="221"/>
        <w:jc w:val="left"/>
        <w:textAlignment w:val="auto"/>
        <w:rPr>
          <w:rFonts w:hint="eastAsia" w:ascii="仿宋_GB2312" w:hAnsi="仿宋_GB2312" w:eastAsia="仿宋_GB2312" w:cs="仿宋_GB2312"/>
          <w:snapToGrid w:val="0"/>
          <w:color w:val="auto"/>
          <w:sz w:val="28"/>
          <w:szCs w:val="28"/>
          <w:u w:val="none"/>
          <w:lang w:eastAsia="zh-CN"/>
        </w:rPr>
      </w:pPr>
      <w:r>
        <w:rPr>
          <w:rFonts w:hint="eastAsia" w:ascii="仿宋_GB2312" w:hAnsi="仿宋_GB2312" w:eastAsia="仿宋_GB2312" w:cs="仿宋_GB2312"/>
          <w:snapToGrid w:val="0"/>
          <w:color w:val="auto"/>
          <w:sz w:val="28"/>
          <w:szCs w:val="28"/>
          <w:u w:val="none"/>
          <w:lang w:val="en-US" w:eastAsia="zh-CN"/>
        </w:rPr>
        <w:t>4.</w:t>
      </w:r>
      <w:r>
        <w:rPr>
          <w:rFonts w:hint="eastAsia" w:ascii="仿宋_GB2312" w:hAnsi="仿宋_GB2312" w:eastAsia="仿宋_GB2312" w:cs="仿宋_GB2312"/>
          <w:snapToGrid w:val="0"/>
          <w:color w:val="auto"/>
          <w:sz w:val="28"/>
          <w:szCs w:val="28"/>
          <w:u w:val="none"/>
          <w:lang w:eastAsia="zh-CN"/>
        </w:rPr>
        <w:t>以上价格包含成本、运输、包装、入库、税费及其他一切费用，在合同期内，不因市场价格波动而变动。</w:t>
      </w:r>
    </w:p>
    <w:p w14:paraId="6ACA25D4">
      <w:pPr>
        <w:snapToGrid w:val="0"/>
        <w:spacing w:line="400" w:lineRule="exact"/>
        <w:ind w:firstLine="560" w:firstLineChars="200"/>
        <w:rPr>
          <w:rFonts w:ascii="黑体" w:hAnsi="仿宋" w:eastAsia="黑体"/>
          <w:snapToGrid w:val="0"/>
          <w:color w:val="auto"/>
          <w:sz w:val="28"/>
          <w:szCs w:val="28"/>
        </w:rPr>
      </w:pPr>
      <w:r>
        <w:rPr>
          <w:rFonts w:hint="eastAsia" w:ascii="黑体" w:hAnsi="仿宋" w:eastAsia="黑体"/>
          <w:snapToGrid w:val="0"/>
          <w:color w:val="auto"/>
          <w:sz w:val="28"/>
          <w:szCs w:val="28"/>
        </w:rPr>
        <w:t>三、</w:t>
      </w:r>
      <w:r>
        <w:rPr>
          <w:rFonts w:hint="eastAsia" w:ascii="黑体" w:hAnsi="仿宋" w:eastAsia="黑体"/>
          <w:snapToGrid w:val="0"/>
          <w:color w:val="auto"/>
          <w:sz w:val="28"/>
          <w:szCs w:val="28"/>
          <w:lang w:val="en-US" w:eastAsia="zh-CN"/>
        </w:rPr>
        <w:t>合同期限和</w:t>
      </w:r>
      <w:r>
        <w:rPr>
          <w:rFonts w:hint="eastAsia" w:ascii="黑体" w:hAnsi="仿宋" w:eastAsia="黑体"/>
          <w:snapToGrid w:val="0"/>
          <w:color w:val="auto"/>
          <w:sz w:val="28"/>
          <w:szCs w:val="28"/>
        </w:rPr>
        <w:t>购销方式</w:t>
      </w:r>
    </w:p>
    <w:p w14:paraId="4DCA22A2">
      <w:pPr>
        <w:snapToGrid w:val="0"/>
        <w:spacing w:line="400" w:lineRule="exact"/>
        <w:ind w:firstLine="560" w:firstLineChars="200"/>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1.合同服务期3年，合同一年一签，对乙方服务质量验收合格后续签下一年度合同，本合同为第一年度合同。</w:t>
      </w:r>
    </w:p>
    <w:p w14:paraId="6B1A8E3D">
      <w:pPr>
        <w:snapToGrid w:val="0"/>
        <w:spacing w:line="400" w:lineRule="exact"/>
        <w:ind w:left="1679" w:leftChars="266" w:hanging="1120" w:hangingChars="400"/>
        <w:jc w:val="left"/>
        <w:rPr>
          <w:rFonts w:hint="default"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2.第一年度合同服务期限自</w:t>
      </w:r>
      <w:r>
        <w:rPr>
          <w:rFonts w:hint="eastAsia" w:ascii="仿宋_GB2312" w:hAnsi="仿宋_GB2312" w:eastAsia="仿宋_GB2312" w:cs="仿宋_GB2312"/>
          <w:snapToGrid w:val="0"/>
          <w:color w:val="auto"/>
          <w:sz w:val="28"/>
          <w:szCs w:val="28"/>
          <w:u w:val="single"/>
          <w:lang w:val="en-US" w:eastAsia="zh-CN"/>
        </w:rPr>
        <w:t xml:space="preserve">    年  月  </w:t>
      </w:r>
      <w:r>
        <w:rPr>
          <w:rFonts w:hint="eastAsia" w:ascii="仿宋_GB2312" w:hAnsi="仿宋_GB2312" w:eastAsia="仿宋_GB2312" w:cs="仿宋_GB2312"/>
          <w:snapToGrid w:val="0"/>
          <w:color w:val="auto"/>
          <w:sz w:val="28"/>
          <w:szCs w:val="28"/>
          <w:lang w:val="en-US" w:eastAsia="zh-CN"/>
        </w:rPr>
        <w:t>日起至</w:t>
      </w:r>
      <w:r>
        <w:rPr>
          <w:rFonts w:hint="eastAsia" w:ascii="仿宋_GB2312" w:hAnsi="仿宋_GB2312" w:eastAsia="仿宋_GB2312" w:cs="仿宋_GB2312"/>
          <w:snapToGrid w:val="0"/>
          <w:color w:val="auto"/>
          <w:sz w:val="28"/>
          <w:szCs w:val="28"/>
          <w:u w:val="single"/>
          <w:lang w:val="en-US" w:eastAsia="zh-CN"/>
        </w:rPr>
        <w:t xml:space="preserve">   </w:t>
      </w:r>
      <w:bookmarkStart w:id="0" w:name="_GoBack"/>
      <w:bookmarkEnd w:id="0"/>
      <w:r>
        <w:rPr>
          <w:rFonts w:hint="eastAsia" w:ascii="仿宋_GB2312" w:hAnsi="仿宋_GB2312" w:eastAsia="仿宋_GB2312" w:cs="仿宋_GB2312"/>
          <w:snapToGrid w:val="0"/>
          <w:color w:val="auto"/>
          <w:sz w:val="28"/>
          <w:szCs w:val="28"/>
          <w:u w:val="single"/>
          <w:lang w:val="en-US" w:eastAsia="zh-CN"/>
        </w:rPr>
        <w:t xml:space="preserve"> </w:t>
      </w:r>
      <w:r>
        <w:rPr>
          <w:rFonts w:hint="eastAsia" w:ascii="仿宋_GB2312" w:hAnsi="仿宋_GB2312" w:eastAsia="仿宋_GB2312" w:cs="仿宋_GB2312"/>
          <w:snapToGrid w:val="0"/>
          <w:color w:val="auto"/>
          <w:sz w:val="28"/>
          <w:szCs w:val="28"/>
          <w:lang w:val="en-US" w:eastAsia="zh-CN"/>
        </w:rPr>
        <w:t>年</w:t>
      </w:r>
      <w:r>
        <w:rPr>
          <w:rFonts w:hint="eastAsia" w:ascii="仿宋_GB2312" w:hAnsi="仿宋_GB2312" w:eastAsia="仿宋_GB2312" w:cs="仿宋_GB2312"/>
          <w:snapToGrid w:val="0"/>
          <w:color w:val="auto"/>
          <w:sz w:val="28"/>
          <w:szCs w:val="28"/>
          <w:u w:val="single"/>
          <w:lang w:val="en-US" w:eastAsia="zh-CN"/>
        </w:rPr>
        <w:t xml:space="preserve">  月  日</w:t>
      </w:r>
      <w:r>
        <w:rPr>
          <w:rFonts w:hint="eastAsia" w:ascii="仿宋_GB2312" w:hAnsi="仿宋_GB2312" w:eastAsia="仿宋_GB2312" w:cs="仿宋_GB2312"/>
          <w:snapToGrid w:val="0"/>
          <w:color w:val="auto"/>
          <w:sz w:val="28"/>
          <w:szCs w:val="28"/>
          <w:lang w:val="en-US" w:eastAsia="zh-CN"/>
        </w:rPr>
        <w:t>止。</w:t>
      </w:r>
    </w:p>
    <w:p w14:paraId="0B07498D">
      <w:pPr>
        <w:snapToGrid w:val="0"/>
        <w:spacing w:line="400" w:lineRule="exact"/>
        <w:ind w:firstLine="560" w:firstLineChars="200"/>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lang w:val="en-US" w:eastAsia="zh-CN"/>
        </w:rPr>
        <w:t>3.</w:t>
      </w:r>
      <w:r>
        <w:rPr>
          <w:rFonts w:hint="eastAsia" w:ascii="仿宋_GB2312" w:hAnsi="仿宋_GB2312" w:eastAsia="仿宋_GB2312" w:cs="仿宋_GB2312"/>
          <w:snapToGrid w:val="0"/>
          <w:color w:val="auto"/>
          <w:sz w:val="28"/>
          <w:szCs w:val="28"/>
        </w:rPr>
        <w:t>甲方通过合同采购，乙方确认合同并按照约定的产品品名、规格、型号、数量、包装等配送</w:t>
      </w:r>
      <w:r>
        <w:rPr>
          <w:rFonts w:hint="eastAsia" w:ascii="仿宋_GB2312" w:hAnsi="仿宋_GB2312" w:eastAsia="仿宋_GB2312" w:cs="仿宋_GB2312"/>
          <w:snapToGrid w:val="0"/>
          <w:color w:val="auto"/>
          <w:sz w:val="28"/>
          <w:szCs w:val="28"/>
          <w:lang w:eastAsia="zh-CN"/>
        </w:rPr>
        <w:t>，</w:t>
      </w:r>
      <w:r>
        <w:rPr>
          <w:rFonts w:hint="eastAsia" w:ascii="仿宋_GB2312" w:hAnsi="仿宋_GB2312" w:eastAsia="仿宋_GB2312" w:cs="仿宋_GB2312"/>
          <w:color w:val="auto"/>
          <w:kern w:val="0"/>
          <w:sz w:val="28"/>
          <w:szCs w:val="28"/>
        </w:rPr>
        <w:t>货到</w:t>
      </w:r>
      <w:r>
        <w:rPr>
          <w:rFonts w:hint="eastAsia" w:ascii="仿宋_GB2312" w:hAnsi="仿宋_GB2312" w:eastAsia="仿宋_GB2312" w:cs="仿宋_GB2312"/>
          <w:color w:val="auto"/>
          <w:kern w:val="0"/>
          <w:sz w:val="28"/>
          <w:szCs w:val="28"/>
          <w:lang w:eastAsia="zh-CN"/>
        </w:rPr>
        <w:t>甲</w:t>
      </w:r>
      <w:r>
        <w:rPr>
          <w:rFonts w:hint="eastAsia" w:ascii="仿宋_GB2312" w:hAnsi="仿宋_GB2312" w:eastAsia="仿宋_GB2312" w:cs="仿宋_GB2312"/>
          <w:color w:val="auto"/>
          <w:kern w:val="0"/>
          <w:sz w:val="28"/>
          <w:szCs w:val="28"/>
        </w:rPr>
        <w:t>方</w:t>
      </w:r>
      <w:r>
        <w:rPr>
          <w:rFonts w:hint="eastAsia" w:ascii="仿宋_GB2312" w:hAnsi="仿宋_GB2312" w:eastAsia="仿宋_GB2312" w:cs="仿宋_GB2312"/>
          <w:color w:val="auto"/>
          <w:kern w:val="0"/>
          <w:sz w:val="28"/>
          <w:szCs w:val="28"/>
          <w:lang w:eastAsia="zh-CN"/>
        </w:rPr>
        <w:t>指定交付</w:t>
      </w:r>
      <w:r>
        <w:rPr>
          <w:rFonts w:hint="eastAsia" w:ascii="仿宋_GB2312" w:hAnsi="仿宋_GB2312" w:eastAsia="仿宋_GB2312" w:cs="仿宋_GB2312"/>
          <w:color w:val="auto"/>
          <w:kern w:val="0"/>
          <w:sz w:val="28"/>
          <w:szCs w:val="28"/>
        </w:rPr>
        <w:t>场地</w:t>
      </w:r>
      <w:r>
        <w:rPr>
          <w:rFonts w:hint="eastAsia" w:ascii="仿宋_GB2312" w:hAnsi="仿宋_GB2312" w:eastAsia="仿宋_GB2312" w:cs="仿宋_GB2312"/>
          <w:snapToGrid w:val="0"/>
          <w:color w:val="auto"/>
          <w:sz w:val="28"/>
          <w:szCs w:val="28"/>
        </w:rPr>
        <w:t>。</w:t>
      </w:r>
    </w:p>
    <w:p w14:paraId="4A04ADF5">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黑体" w:hAnsi="仿宋" w:eastAsia="黑体"/>
          <w:snapToGrid w:val="0"/>
          <w:color w:val="auto"/>
          <w:sz w:val="28"/>
          <w:szCs w:val="28"/>
          <w:highlight w:val="none"/>
          <w:u w:val="none"/>
        </w:rPr>
      </w:pPr>
      <w:r>
        <w:rPr>
          <w:rFonts w:hint="eastAsia" w:ascii="黑体" w:hAnsi="仿宋" w:eastAsia="黑体"/>
          <w:snapToGrid w:val="0"/>
          <w:color w:val="auto"/>
          <w:sz w:val="28"/>
          <w:szCs w:val="28"/>
          <w:u w:val="none"/>
        </w:rPr>
        <w:t>四、质量</w:t>
      </w:r>
      <w:r>
        <w:rPr>
          <w:rFonts w:hint="eastAsia" w:ascii="黑体" w:hAnsi="仿宋" w:eastAsia="黑体"/>
          <w:snapToGrid w:val="0"/>
          <w:color w:val="auto"/>
          <w:sz w:val="28"/>
          <w:szCs w:val="28"/>
          <w:highlight w:val="none"/>
          <w:u w:val="none"/>
        </w:rPr>
        <w:t>要求</w:t>
      </w:r>
    </w:p>
    <w:p w14:paraId="0057EDC1">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仿宋_GB2312" w:hAnsi="仿宋" w:eastAsia="仿宋_GB2312"/>
          <w:snapToGrid w:val="0"/>
          <w:color w:val="auto"/>
          <w:sz w:val="28"/>
          <w:szCs w:val="28"/>
          <w:u w:val="none"/>
        </w:rPr>
      </w:pPr>
      <w:r>
        <w:rPr>
          <w:rFonts w:hint="eastAsia" w:ascii="仿宋_GB2312" w:hAnsi="仿宋" w:eastAsia="仿宋_GB2312"/>
          <w:snapToGrid w:val="0"/>
          <w:color w:val="auto"/>
          <w:sz w:val="28"/>
          <w:szCs w:val="28"/>
          <w:highlight w:val="none"/>
          <w:u w:val="none"/>
        </w:rPr>
        <w:t>1.乙方所供</w:t>
      </w:r>
      <w:r>
        <w:rPr>
          <w:rFonts w:hint="eastAsia" w:ascii="仿宋_GB2312" w:hAnsi="仿宋" w:eastAsia="仿宋_GB2312"/>
          <w:color w:val="auto"/>
          <w:sz w:val="28"/>
          <w:szCs w:val="28"/>
          <w:highlight w:val="none"/>
          <w:u w:val="none"/>
        </w:rPr>
        <w:t>医用耗材</w:t>
      </w:r>
      <w:r>
        <w:rPr>
          <w:rFonts w:hint="eastAsia" w:ascii="仿宋_GB2312" w:hAnsi="仿宋" w:eastAsia="仿宋_GB2312"/>
          <w:snapToGrid w:val="0"/>
          <w:color w:val="auto"/>
          <w:sz w:val="28"/>
          <w:szCs w:val="28"/>
          <w:highlight w:val="none"/>
          <w:u w:val="none"/>
        </w:rPr>
        <w:t>必须符合</w:t>
      </w:r>
      <w:r>
        <w:rPr>
          <w:rFonts w:hint="eastAsia" w:ascii="仿宋_GB2312" w:hAnsi="仿宋" w:eastAsia="仿宋_GB2312"/>
          <w:snapToGrid w:val="0"/>
          <w:color w:val="auto"/>
          <w:sz w:val="28"/>
          <w:szCs w:val="28"/>
          <w:u w:val="none"/>
        </w:rPr>
        <w:t>国家医疗器械质量标准和相关要求，确保临床使用安全有效</w:t>
      </w:r>
      <w:r>
        <w:rPr>
          <w:rFonts w:hint="eastAsia" w:ascii="仿宋_GB2312" w:hAnsi="仿宋" w:eastAsia="仿宋_GB2312"/>
          <w:snapToGrid w:val="0"/>
          <w:color w:val="auto"/>
          <w:sz w:val="28"/>
          <w:szCs w:val="28"/>
          <w:u w:val="none"/>
          <w:lang w:eastAsia="zh-CN"/>
        </w:rPr>
        <w:t>、</w:t>
      </w:r>
      <w:r>
        <w:rPr>
          <w:rFonts w:hint="eastAsia" w:ascii="仿宋_GB2312" w:hAnsi="仿宋" w:eastAsia="仿宋_GB2312"/>
          <w:snapToGrid w:val="0"/>
          <w:color w:val="auto"/>
          <w:sz w:val="28"/>
          <w:szCs w:val="28"/>
          <w:u w:val="none"/>
          <w:lang w:val="en-US" w:eastAsia="zh-CN"/>
        </w:rPr>
        <w:t>合规</w:t>
      </w:r>
      <w:r>
        <w:rPr>
          <w:rFonts w:hint="eastAsia" w:ascii="仿宋_GB2312" w:hAnsi="仿宋" w:eastAsia="仿宋_GB2312"/>
          <w:snapToGrid w:val="0"/>
          <w:color w:val="auto"/>
          <w:sz w:val="28"/>
          <w:szCs w:val="28"/>
          <w:u w:val="none"/>
        </w:rPr>
        <w:t>。</w:t>
      </w:r>
    </w:p>
    <w:p w14:paraId="644F0118">
      <w:pPr>
        <w:pStyle w:val="6"/>
        <w:keepNext w:val="0"/>
        <w:keepLines w:val="0"/>
        <w:pageBreakBefore w:val="0"/>
        <w:shd w:val="clear" w:color="auto" w:fill="FFFFFF"/>
        <w:kinsoku/>
        <w:wordWrap/>
        <w:overflowPunct/>
        <w:topLinePunct w:val="0"/>
        <w:autoSpaceDE/>
        <w:autoSpaceDN/>
        <w:bidi w:val="0"/>
        <w:adjustRightInd/>
        <w:spacing w:before="0" w:beforeAutospacing="0" w:after="0" w:afterAutospacing="0" w:line="400" w:lineRule="exact"/>
        <w:ind w:firstLine="560" w:firstLineChars="200"/>
        <w:textAlignment w:val="auto"/>
        <w:rPr>
          <w:rFonts w:ascii="仿宋_GB2312" w:hAnsi="仿宋" w:eastAsia="仿宋_GB2312"/>
          <w:b w:val="0"/>
          <w:bCs w:val="0"/>
          <w:snapToGrid w:val="0"/>
          <w:color w:val="auto"/>
          <w:sz w:val="28"/>
          <w:szCs w:val="28"/>
          <w:u w:val="none"/>
        </w:rPr>
      </w:pPr>
      <w:r>
        <w:rPr>
          <w:rFonts w:hint="eastAsia" w:ascii="仿宋_GB2312" w:hAnsi="仿宋" w:eastAsia="仿宋_GB2312"/>
          <w:snapToGrid w:val="0"/>
          <w:color w:val="auto"/>
          <w:sz w:val="28"/>
          <w:szCs w:val="28"/>
          <w:u w:val="none"/>
        </w:rPr>
        <w:t>2.</w:t>
      </w:r>
      <w:r>
        <w:rPr>
          <w:rFonts w:hint="eastAsia" w:ascii="仿宋_GB2312" w:hAnsi="仿宋" w:eastAsia="仿宋_GB2312"/>
          <w:snapToGrid w:val="0"/>
          <w:color w:val="auto"/>
          <w:sz w:val="28"/>
          <w:szCs w:val="28"/>
          <w:u w:val="none"/>
          <w:lang w:eastAsia="zh-CN"/>
        </w:rPr>
        <w:t>合同履行期间，合同产品</w:t>
      </w:r>
      <w:r>
        <w:rPr>
          <w:rFonts w:hint="eastAsia" w:ascii="仿宋_GB2312" w:hAnsi="仿宋" w:eastAsia="仿宋_GB2312"/>
          <w:color w:val="auto"/>
          <w:sz w:val="28"/>
          <w:szCs w:val="28"/>
          <w:u w:val="none"/>
        </w:rPr>
        <w:t>的名称、规格、</w:t>
      </w:r>
      <w:r>
        <w:rPr>
          <w:rFonts w:hint="eastAsia" w:ascii="仿宋_GB2312" w:hAnsi="仿宋" w:eastAsia="仿宋_GB2312"/>
          <w:color w:val="auto"/>
          <w:sz w:val="28"/>
          <w:szCs w:val="28"/>
          <w:u w:val="none"/>
          <w:lang w:eastAsia="zh-CN"/>
        </w:rPr>
        <w:t>型号、</w:t>
      </w:r>
      <w:r>
        <w:rPr>
          <w:rFonts w:hint="eastAsia" w:ascii="仿宋_GB2312" w:hAnsi="仿宋" w:eastAsia="仿宋_GB2312"/>
          <w:color w:val="auto"/>
          <w:sz w:val="28"/>
          <w:szCs w:val="28"/>
          <w:u w:val="none"/>
        </w:rPr>
        <w:t>价格和包装等须</w:t>
      </w:r>
      <w:r>
        <w:rPr>
          <w:rFonts w:hint="eastAsia" w:ascii="仿宋_GB2312" w:hAnsi="仿宋" w:eastAsia="仿宋_GB2312"/>
          <w:b w:val="0"/>
          <w:bCs w:val="0"/>
          <w:color w:val="auto"/>
          <w:sz w:val="28"/>
          <w:szCs w:val="28"/>
          <w:highlight w:val="none"/>
          <w:u w:val="none"/>
        </w:rPr>
        <w:t>与</w:t>
      </w:r>
      <w:r>
        <w:rPr>
          <w:rFonts w:hint="eastAsia" w:ascii="仿宋_GB2312" w:hAnsi="仿宋" w:eastAsia="仿宋_GB2312"/>
          <w:b w:val="0"/>
          <w:bCs w:val="0"/>
          <w:color w:val="auto"/>
          <w:sz w:val="28"/>
          <w:szCs w:val="28"/>
          <w:highlight w:val="none"/>
          <w:u w:val="none"/>
          <w:lang w:eastAsia="zh-CN"/>
        </w:rPr>
        <w:t>中标信息</w:t>
      </w:r>
      <w:r>
        <w:rPr>
          <w:rFonts w:hint="eastAsia" w:ascii="仿宋_GB2312" w:hAnsi="仿宋" w:eastAsia="仿宋_GB2312"/>
          <w:b w:val="0"/>
          <w:bCs w:val="0"/>
          <w:color w:val="auto"/>
          <w:sz w:val="28"/>
          <w:szCs w:val="28"/>
          <w:u w:val="none"/>
          <w:lang w:eastAsia="zh-CN"/>
        </w:rPr>
        <w:t>一致，</w:t>
      </w:r>
      <w:r>
        <w:rPr>
          <w:rFonts w:hint="eastAsia" w:ascii="仿宋_GB2312" w:hAnsi="仿宋" w:eastAsia="仿宋_GB2312"/>
          <w:b w:val="0"/>
          <w:bCs w:val="0"/>
          <w:color w:val="auto"/>
          <w:sz w:val="28"/>
          <w:szCs w:val="28"/>
          <w:u w:val="none"/>
        </w:rPr>
        <w:t>不得更改。</w:t>
      </w:r>
    </w:p>
    <w:p w14:paraId="58474C0C">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u w:val="none"/>
          <w:lang w:eastAsia="zh-CN"/>
        </w:rPr>
      </w:pPr>
      <w:r>
        <w:rPr>
          <w:rFonts w:hint="eastAsia" w:ascii="仿宋_GB2312" w:hAnsi="仿宋" w:eastAsia="仿宋_GB2312"/>
          <w:snapToGrid w:val="0"/>
          <w:color w:val="auto"/>
          <w:sz w:val="28"/>
          <w:szCs w:val="28"/>
          <w:u w:val="none"/>
        </w:rPr>
        <w:t>3.乙方所供产品须提供同批号的检验报告书，随货同行</w:t>
      </w:r>
      <w:r>
        <w:rPr>
          <w:rFonts w:hint="eastAsia" w:ascii="仿宋_GB2312" w:hAnsi="仿宋" w:eastAsia="仿宋_GB2312"/>
          <w:snapToGrid w:val="0"/>
          <w:color w:val="auto"/>
          <w:sz w:val="28"/>
          <w:szCs w:val="28"/>
          <w:u w:val="none"/>
          <w:lang w:eastAsia="zh-CN"/>
        </w:rPr>
        <w:t>，否则甲方有权拒收。</w:t>
      </w:r>
    </w:p>
    <w:p w14:paraId="5A641E1A">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b w:val="0"/>
          <w:bCs w:val="0"/>
          <w:snapToGrid w:val="0"/>
          <w:color w:val="auto"/>
          <w:sz w:val="28"/>
          <w:szCs w:val="28"/>
          <w:highlight w:val="none"/>
          <w:u w:val="none"/>
        </w:rPr>
      </w:pPr>
      <w:r>
        <w:rPr>
          <w:rFonts w:hint="eastAsia" w:ascii="仿宋_GB2312" w:hAnsi="仿宋" w:eastAsia="仿宋_GB2312"/>
          <w:snapToGrid w:val="0"/>
          <w:color w:val="auto"/>
          <w:sz w:val="28"/>
          <w:szCs w:val="28"/>
          <w:u w:val="none"/>
        </w:rPr>
        <w:t>4.乙方所提供的产品有效期限不得少于整个产品有效期</w:t>
      </w:r>
      <w:r>
        <w:rPr>
          <w:rFonts w:hint="eastAsia" w:ascii="仿宋_GB2312" w:hAnsi="仿宋" w:eastAsia="仿宋_GB2312"/>
          <w:snapToGrid w:val="0"/>
          <w:color w:val="auto"/>
          <w:sz w:val="28"/>
          <w:szCs w:val="28"/>
          <w:u w:val="none"/>
          <w:lang w:eastAsia="zh-CN"/>
        </w:rPr>
        <w:t>总时</w:t>
      </w:r>
      <w:r>
        <w:rPr>
          <w:rFonts w:hint="eastAsia" w:ascii="仿宋_GB2312" w:hAnsi="仿宋" w:eastAsia="仿宋_GB2312"/>
          <w:b w:val="0"/>
          <w:bCs w:val="0"/>
          <w:snapToGrid w:val="0"/>
          <w:color w:val="auto"/>
          <w:sz w:val="28"/>
          <w:szCs w:val="28"/>
          <w:highlight w:val="none"/>
          <w:u w:val="none"/>
          <w:lang w:eastAsia="zh-CN"/>
        </w:rPr>
        <w:t>长</w:t>
      </w:r>
      <w:r>
        <w:rPr>
          <w:rFonts w:hint="eastAsia" w:ascii="仿宋_GB2312" w:hAnsi="仿宋" w:eastAsia="仿宋_GB2312"/>
          <w:b w:val="0"/>
          <w:bCs w:val="0"/>
          <w:snapToGrid w:val="0"/>
          <w:color w:val="auto"/>
          <w:sz w:val="28"/>
          <w:szCs w:val="28"/>
          <w:highlight w:val="none"/>
          <w:u w:val="none"/>
        </w:rPr>
        <w:t>的</w:t>
      </w:r>
      <w:r>
        <w:rPr>
          <w:rFonts w:hint="eastAsia" w:ascii="仿宋_GB2312" w:hAnsi="仿宋" w:eastAsia="仿宋_GB2312"/>
          <w:b w:val="0"/>
          <w:bCs w:val="0"/>
          <w:snapToGrid w:val="0"/>
          <w:color w:val="auto"/>
          <w:sz w:val="28"/>
          <w:szCs w:val="28"/>
          <w:highlight w:val="none"/>
          <w:u w:val="none"/>
          <w:lang w:val="en-US" w:eastAsia="zh-CN"/>
        </w:rPr>
        <w:t>2/3</w:t>
      </w:r>
      <w:r>
        <w:rPr>
          <w:rFonts w:hint="eastAsia" w:ascii="仿宋_GB2312" w:hAnsi="仿宋" w:eastAsia="仿宋_GB2312"/>
          <w:b w:val="0"/>
          <w:bCs w:val="0"/>
          <w:snapToGrid w:val="0"/>
          <w:color w:val="auto"/>
          <w:sz w:val="28"/>
          <w:szCs w:val="28"/>
          <w:highlight w:val="none"/>
          <w:u w:val="none"/>
        </w:rPr>
        <w:t>。</w:t>
      </w:r>
    </w:p>
    <w:p w14:paraId="44E6B81C">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黑体" w:hAnsi="仿宋" w:eastAsia="黑体"/>
          <w:b w:val="0"/>
          <w:bCs w:val="0"/>
          <w:snapToGrid w:val="0"/>
          <w:color w:val="auto"/>
          <w:sz w:val="28"/>
          <w:szCs w:val="28"/>
          <w:highlight w:val="none"/>
          <w:u w:val="none"/>
        </w:rPr>
      </w:pPr>
      <w:r>
        <w:rPr>
          <w:rFonts w:hint="eastAsia" w:ascii="黑体" w:hAnsi="仿宋" w:eastAsia="黑体"/>
          <w:b w:val="0"/>
          <w:bCs w:val="0"/>
          <w:snapToGrid w:val="0"/>
          <w:color w:val="auto"/>
          <w:sz w:val="28"/>
          <w:szCs w:val="28"/>
          <w:highlight w:val="none"/>
          <w:u w:val="none"/>
        </w:rPr>
        <w:t>五、配送及验收</w:t>
      </w:r>
    </w:p>
    <w:p w14:paraId="2243F34C">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u w:val="none"/>
          <w:lang w:eastAsia="zh-CN"/>
        </w:rPr>
      </w:pPr>
      <w:r>
        <w:rPr>
          <w:rFonts w:hint="eastAsia" w:ascii="仿宋_GB2312" w:hAnsi="仿宋_GB2312" w:eastAsia="仿宋_GB2312" w:cs="仿宋_GB2312"/>
          <w:b w:val="0"/>
          <w:bCs w:val="0"/>
          <w:color w:val="auto"/>
          <w:kern w:val="0"/>
          <w:sz w:val="28"/>
          <w:szCs w:val="28"/>
          <w:highlight w:val="none"/>
          <w:u w:val="none"/>
          <w:lang w:val="en-US" w:eastAsia="zh-CN"/>
        </w:rPr>
        <w:t>1.</w:t>
      </w:r>
      <w:r>
        <w:rPr>
          <w:rFonts w:hint="eastAsia" w:ascii="仿宋_GB2312" w:hAnsi="仿宋_GB2312" w:eastAsia="仿宋_GB2312" w:cs="仿宋_GB2312"/>
          <w:b w:val="0"/>
          <w:bCs w:val="0"/>
          <w:color w:val="auto"/>
          <w:kern w:val="0"/>
          <w:sz w:val="28"/>
          <w:szCs w:val="28"/>
          <w:highlight w:val="none"/>
          <w:u w:val="none"/>
        </w:rPr>
        <w:t>乙方按照甲方要求及时足</w:t>
      </w:r>
      <w:r>
        <w:rPr>
          <w:rFonts w:hint="eastAsia" w:ascii="仿宋_GB2312" w:hAnsi="仿宋_GB2312" w:eastAsia="仿宋_GB2312" w:cs="仿宋_GB2312"/>
          <w:b w:val="0"/>
          <w:bCs w:val="0"/>
          <w:color w:val="auto"/>
          <w:kern w:val="0"/>
          <w:sz w:val="28"/>
          <w:szCs w:val="28"/>
          <w:highlight w:val="none"/>
          <w:u w:val="none"/>
          <w:lang w:eastAsia="zh-CN"/>
        </w:rPr>
        <w:t>量</w:t>
      </w:r>
      <w:r>
        <w:rPr>
          <w:rFonts w:hint="eastAsia" w:ascii="仿宋_GB2312" w:hAnsi="仿宋_GB2312" w:eastAsia="仿宋_GB2312" w:cs="仿宋_GB2312"/>
          <w:b w:val="0"/>
          <w:bCs w:val="0"/>
          <w:color w:val="auto"/>
          <w:kern w:val="0"/>
          <w:sz w:val="28"/>
          <w:szCs w:val="28"/>
          <w:highlight w:val="none"/>
          <w:u w:val="none"/>
        </w:rPr>
        <w:t>向甲方提供符合招标文件及本合同要求的</w:t>
      </w:r>
      <w:r>
        <w:rPr>
          <w:rFonts w:hint="eastAsia" w:ascii="仿宋_GB2312" w:hAnsi="仿宋_GB2312" w:eastAsia="仿宋_GB2312" w:cs="仿宋_GB2312"/>
          <w:b w:val="0"/>
          <w:bCs w:val="0"/>
          <w:color w:val="auto"/>
          <w:kern w:val="0"/>
          <w:sz w:val="28"/>
          <w:szCs w:val="28"/>
          <w:highlight w:val="none"/>
          <w:u w:val="none"/>
          <w:lang w:eastAsia="zh-CN"/>
        </w:rPr>
        <w:t>产品，</w:t>
      </w:r>
      <w:r>
        <w:rPr>
          <w:rFonts w:hint="eastAsia" w:ascii="仿宋_GB2312" w:hAnsi="仿宋_GB2312" w:eastAsia="仿宋_GB2312" w:cs="仿宋_GB2312"/>
          <w:b w:val="0"/>
          <w:bCs w:val="0"/>
          <w:snapToGrid w:val="0"/>
          <w:color w:val="auto"/>
          <w:sz w:val="28"/>
          <w:szCs w:val="28"/>
          <w:highlight w:val="none"/>
          <w:u w:val="none"/>
        </w:rPr>
        <w:t>并送达甲方指定地点。</w:t>
      </w:r>
      <w:r>
        <w:rPr>
          <w:rFonts w:hint="eastAsia" w:ascii="仿宋_GB2312" w:hAnsi="仿宋_GB2312" w:eastAsia="仿宋_GB2312" w:cs="仿宋_GB2312"/>
          <w:color w:val="auto"/>
          <w:sz w:val="28"/>
          <w:szCs w:val="28"/>
          <w:highlight w:val="none"/>
          <w:u w:val="none"/>
        </w:rPr>
        <w:t>不能因送货不及时或货物质量问题影响甲方使用</w:t>
      </w:r>
      <w:r>
        <w:rPr>
          <w:rFonts w:hint="eastAsia" w:ascii="仿宋_GB2312" w:hAnsi="仿宋_GB2312" w:eastAsia="仿宋_GB2312" w:cs="仿宋_GB2312"/>
          <w:color w:val="auto"/>
          <w:sz w:val="28"/>
          <w:szCs w:val="28"/>
          <w:highlight w:val="none"/>
          <w:u w:val="none"/>
          <w:lang w:eastAsia="zh-CN"/>
        </w:rPr>
        <w:t>。</w:t>
      </w:r>
    </w:p>
    <w:p w14:paraId="0A4A8267">
      <w:pPr>
        <w:keepNext w:val="0"/>
        <w:keepLines w:val="0"/>
        <w:pageBreakBefore w:val="0"/>
        <w:kinsoku/>
        <w:wordWrap/>
        <w:overflowPunct/>
        <w:topLinePunct w:val="0"/>
        <w:autoSpaceDE/>
        <w:autoSpaceDN/>
        <w:bidi w:val="0"/>
        <w:adjustRightInd/>
        <w:spacing w:line="400" w:lineRule="exact"/>
        <w:ind w:firstLine="560" w:firstLineChars="200"/>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kern w:val="0"/>
          <w:sz w:val="28"/>
          <w:szCs w:val="28"/>
          <w:highlight w:val="none"/>
          <w:u w:val="none"/>
          <w:lang w:val="en-US" w:eastAsia="zh-CN"/>
        </w:rPr>
        <w:t>2.</w:t>
      </w:r>
      <w:r>
        <w:rPr>
          <w:rFonts w:hint="eastAsia" w:ascii="仿宋_GB2312" w:hAnsi="仿宋_GB2312" w:eastAsia="仿宋_GB2312" w:cs="仿宋_GB2312"/>
          <w:color w:val="auto"/>
          <w:sz w:val="28"/>
          <w:szCs w:val="28"/>
          <w:highlight w:val="none"/>
          <w:u w:val="none"/>
        </w:rPr>
        <w:t>负责提供生产及销售相关产品的各种证明文件</w:t>
      </w:r>
      <w:r>
        <w:rPr>
          <w:rFonts w:hint="eastAsia" w:ascii="仿宋_GB2312" w:hAnsi="仿宋_GB2312" w:eastAsia="仿宋_GB2312" w:cs="仿宋_GB2312"/>
          <w:color w:val="auto"/>
          <w:sz w:val="28"/>
          <w:szCs w:val="28"/>
          <w:highlight w:val="none"/>
          <w:u w:val="none"/>
          <w:lang w:eastAsia="zh-CN"/>
        </w:rPr>
        <w:t>。须</w:t>
      </w:r>
      <w:r>
        <w:rPr>
          <w:rFonts w:hint="eastAsia" w:ascii="仿宋_GB2312" w:hAnsi="仿宋_GB2312" w:eastAsia="仿宋_GB2312" w:cs="仿宋_GB2312"/>
          <w:color w:val="auto"/>
          <w:sz w:val="28"/>
          <w:szCs w:val="28"/>
          <w:highlight w:val="none"/>
          <w:u w:val="none"/>
        </w:rPr>
        <w:t>符合</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国家有关法律法规；证照在有效期内，证照号与物品相符，并做到换证后及时向甲方更新，且保证所提供文件的真实性、可靠性、合法性,并保证注册证在合同有效期内持续有效。</w:t>
      </w:r>
    </w:p>
    <w:p w14:paraId="1CE9217A">
      <w:pPr>
        <w:keepNext w:val="0"/>
        <w:keepLines w:val="0"/>
        <w:pageBreakBefore w:val="0"/>
        <w:kinsoku/>
        <w:wordWrap/>
        <w:overflowPunct/>
        <w:topLinePunct w:val="0"/>
        <w:autoSpaceDE/>
        <w:autoSpaceDN/>
        <w:bidi w:val="0"/>
        <w:adjustRightInd/>
        <w:spacing w:line="400" w:lineRule="exact"/>
        <w:ind w:firstLine="560" w:firstLineChars="200"/>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lang w:val="en-US" w:eastAsia="zh-CN"/>
        </w:rPr>
        <w:t>3.</w:t>
      </w:r>
      <w:r>
        <w:rPr>
          <w:rFonts w:hint="eastAsia" w:ascii="仿宋_GB2312" w:hAnsi="仿宋_GB2312" w:eastAsia="仿宋_GB2312" w:cs="仿宋_GB2312"/>
          <w:color w:val="auto"/>
          <w:sz w:val="28"/>
          <w:szCs w:val="28"/>
          <w:highlight w:val="none"/>
          <w:u w:val="none"/>
        </w:rPr>
        <w:t>送货时必须</w:t>
      </w:r>
      <w:r>
        <w:rPr>
          <w:rFonts w:hint="eastAsia" w:ascii="仿宋_GB2312" w:hAnsi="仿宋_GB2312" w:eastAsia="仿宋_GB2312" w:cs="仿宋_GB2312"/>
          <w:color w:val="auto"/>
          <w:sz w:val="28"/>
          <w:szCs w:val="28"/>
          <w:highlight w:val="none"/>
          <w:u w:val="none"/>
          <w:lang w:eastAsia="zh-CN"/>
        </w:rPr>
        <w:t>同时</w:t>
      </w:r>
      <w:r>
        <w:rPr>
          <w:rFonts w:hint="eastAsia" w:ascii="仿宋_GB2312" w:hAnsi="仿宋_GB2312" w:eastAsia="仿宋_GB2312" w:cs="仿宋_GB2312"/>
          <w:color w:val="auto"/>
          <w:sz w:val="28"/>
          <w:szCs w:val="28"/>
          <w:highlight w:val="none"/>
          <w:u w:val="none"/>
        </w:rPr>
        <w:t>提供送货单，送货单上必须</w:t>
      </w:r>
      <w:r>
        <w:rPr>
          <w:rFonts w:hint="eastAsia" w:ascii="仿宋_GB2312" w:hAnsi="仿宋_GB2312" w:eastAsia="仿宋_GB2312" w:cs="仿宋_GB2312"/>
          <w:color w:val="auto"/>
          <w:sz w:val="28"/>
          <w:szCs w:val="28"/>
          <w:highlight w:val="none"/>
          <w:u w:val="none"/>
          <w:lang w:eastAsia="zh-CN"/>
        </w:rPr>
        <w:t>按照甲方固定模板所要求内容填写清楚（如：</w:t>
      </w:r>
      <w:r>
        <w:rPr>
          <w:rFonts w:hint="eastAsia" w:ascii="仿宋_GB2312" w:hAnsi="仿宋_GB2312" w:eastAsia="仿宋_GB2312" w:cs="仿宋_GB2312"/>
          <w:color w:val="auto"/>
          <w:sz w:val="28"/>
          <w:szCs w:val="28"/>
          <w:highlight w:val="none"/>
          <w:u w:val="none"/>
        </w:rPr>
        <w:t>货物名称、单价、数量、批号</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有效期</w:t>
      </w:r>
      <w:r>
        <w:rPr>
          <w:rFonts w:hint="eastAsia" w:ascii="仿宋_GB2312" w:hAnsi="仿宋_GB2312" w:eastAsia="仿宋_GB2312" w:cs="仿宋_GB2312"/>
          <w:color w:val="auto"/>
          <w:sz w:val="28"/>
          <w:szCs w:val="28"/>
          <w:highlight w:val="none"/>
          <w:u w:val="none"/>
          <w:lang w:eastAsia="zh-CN"/>
        </w:rPr>
        <w:t>、流水号</w:t>
      </w:r>
      <w:r>
        <w:rPr>
          <w:rFonts w:hint="eastAsia" w:ascii="仿宋_GB2312" w:hAnsi="仿宋_GB2312" w:eastAsia="仿宋_GB2312" w:cs="仿宋_GB2312"/>
          <w:color w:val="auto"/>
          <w:sz w:val="28"/>
          <w:szCs w:val="28"/>
          <w:highlight w:val="none"/>
          <w:u w:val="none"/>
        </w:rPr>
        <w:t>等</w:t>
      </w:r>
      <w:r>
        <w:rPr>
          <w:rFonts w:hint="eastAsia" w:ascii="仿宋_GB2312" w:hAnsi="仿宋_GB2312" w:eastAsia="仿宋_GB2312" w:cs="仿宋_GB2312"/>
          <w:color w:val="auto"/>
          <w:sz w:val="28"/>
          <w:szCs w:val="28"/>
          <w:highlight w:val="none"/>
          <w:u w:val="none"/>
          <w:lang w:eastAsia="zh-CN"/>
        </w:rPr>
        <w:t>）信息</w:t>
      </w:r>
      <w:r>
        <w:rPr>
          <w:rFonts w:hint="eastAsia" w:ascii="仿宋_GB2312" w:hAnsi="仿宋_GB2312" w:eastAsia="仿宋_GB2312" w:cs="仿宋_GB2312"/>
          <w:color w:val="auto"/>
          <w:sz w:val="28"/>
          <w:szCs w:val="28"/>
          <w:highlight w:val="none"/>
          <w:u w:val="none"/>
        </w:rPr>
        <w:t>，并加盖单位公章。</w:t>
      </w:r>
    </w:p>
    <w:p w14:paraId="20F9F4B6">
      <w:pPr>
        <w:keepNext w:val="0"/>
        <w:keepLines w:val="0"/>
        <w:pageBreakBefore w:val="0"/>
        <w:kinsoku/>
        <w:wordWrap/>
        <w:overflowPunct/>
        <w:topLinePunct w:val="0"/>
        <w:autoSpaceDE/>
        <w:autoSpaceDN/>
        <w:bidi w:val="0"/>
        <w:adjustRightInd/>
        <w:spacing w:line="400" w:lineRule="exact"/>
        <w:ind w:firstLine="560" w:firstLineChars="200"/>
        <w:textAlignment w:val="auto"/>
        <w:rPr>
          <w:rFonts w:hint="eastAsia" w:ascii="仿宋_GB2312" w:hAnsi="仿宋_GB2312" w:eastAsia="仿宋_GB2312" w:cs="仿宋_GB2312"/>
          <w:color w:val="auto"/>
          <w:kern w:val="0"/>
          <w:sz w:val="28"/>
          <w:szCs w:val="28"/>
          <w:highlight w:val="none"/>
          <w:u w:val="none"/>
          <w:lang w:eastAsia="zh-CN"/>
        </w:rPr>
      </w:pPr>
      <w:r>
        <w:rPr>
          <w:rFonts w:hint="eastAsia" w:ascii="仿宋_GB2312" w:hAnsi="仿宋_GB2312" w:eastAsia="仿宋_GB2312" w:cs="仿宋_GB2312"/>
          <w:color w:val="auto"/>
          <w:sz w:val="28"/>
          <w:szCs w:val="28"/>
          <w:highlight w:val="none"/>
          <w:u w:val="none"/>
          <w:lang w:val="en-US" w:eastAsia="zh-CN"/>
        </w:rPr>
        <w:t>4.</w:t>
      </w:r>
      <w:r>
        <w:rPr>
          <w:rFonts w:hint="eastAsia" w:ascii="仿宋_GB2312" w:hAnsi="仿宋_GB2312" w:eastAsia="仿宋_GB2312" w:cs="仿宋_GB2312"/>
          <w:color w:val="auto"/>
          <w:sz w:val="28"/>
          <w:szCs w:val="28"/>
          <w:highlight w:val="none"/>
          <w:u w:val="none"/>
          <w:lang w:eastAsia="zh-CN"/>
        </w:rPr>
        <w:t>已在</w:t>
      </w:r>
      <w:r>
        <w:rPr>
          <w:rFonts w:hint="eastAsia" w:ascii="仿宋_GB2312" w:hAnsi="仿宋_GB2312" w:eastAsia="仿宋_GB2312" w:cs="仿宋_GB2312"/>
          <w:color w:val="auto"/>
          <w:sz w:val="28"/>
          <w:szCs w:val="28"/>
          <w:highlight w:val="none"/>
          <w:u w:val="none"/>
        </w:rPr>
        <w:t>四川省药械集中采购及医药价格监管平台</w:t>
      </w:r>
      <w:r>
        <w:rPr>
          <w:rFonts w:hint="eastAsia" w:ascii="仿宋_GB2312" w:hAnsi="仿宋_GB2312" w:eastAsia="仿宋_GB2312" w:cs="仿宋_GB2312"/>
          <w:color w:val="auto"/>
          <w:sz w:val="28"/>
          <w:szCs w:val="28"/>
          <w:highlight w:val="none"/>
          <w:u w:val="none"/>
          <w:lang w:eastAsia="zh-CN"/>
        </w:rPr>
        <w:t>挂网产品</w:t>
      </w:r>
      <w:r>
        <w:rPr>
          <w:rFonts w:hint="eastAsia" w:ascii="仿宋_GB2312" w:hAnsi="仿宋_GB2312" w:eastAsia="仿宋_GB2312" w:cs="仿宋_GB2312"/>
          <w:color w:val="auto"/>
          <w:kern w:val="0"/>
          <w:sz w:val="28"/>
          <w:szCs w:val="28"/>
          <w:highlight w:val="none"/>
          <w:u w:val="none"/>
        </w:rPr>
        <w:t>，</w:t>
      </w:r>
      <w:r>
        <w:rPr>
          <w:rFonts w:hint="eastAsia" w:ascii="仿宋_GB2312" w:hAnsi="仿宋_GB2312" w:eastAsia="仿宋_GB2312" w:cs="仿宋_GB2312"/>
          <w:color w:val="auto"/>
          <w:kern w:val="0"/>
          <w:sz w:val="28"/>
          <w:szCs w:val="28"/>
          <w:highlight w:val="none"/>
          <w:u w:val="none"/>
          <w:lang w:eastAsia="zh-CN"/>
        </w:rPr>
        <w:t>需提供挂网流水号；须挂网但正在申报挂网手续产品，乙方须在签订合同</w:t>
      </w:r>
      <w:r>
        <w:rPr>
          <w:rFonts w:hint="eastAsia" w:ascii="仿宋_GB2312" w:hAnsi="仿宋_GB2312" w:eastAsia="仿宋_GB2312" w:cs="仿宋_GB2312"/>
          <w:color w:val="auto"/>
          <w:kern w:val="0"/>
          <w:sz w:val="28"/>
          <w:szCs w:val="28"/>
          <w:highlight w:val="none"/>
          <w:u w:val="none"/>
          <w:lang w:val="en-US" w:eastAsia="zh-CN"/>
        </w:rPr>
        <w:t>3个月内</w:t>
      </w:r>
      <w:r>
        <w:rPr>
          <w:rFonts w:hint="eastAsia" w:ascii="仿宋_GB2312" w:hAnsi="仿宋_GB2312" w:eastAsia="仿宋_GB2312" w:cs="仿宋_GB2312"/>
          <w:color w:val="auto"/>
          <w:kern w:val="0"/>
          <w:sz w:val="28"/>
          <w:szCs w:val="28"/>
          <w:highlight w:val="none"/>
          <w:u w:val="none"/>
        </w:rPr>
        <w:t>以书面形式告知甲方</w:t>
      </w:r>
      <w:r>
        <w:rPr>
          <w:rFonts w:hint="eastAsia" w:ascii="仿宋_GB2312" w:hAnsi="仿宋_GB2312" w:eastAsia="仿宋_GB2312" w:cs="仿宋_GB2312"/>
          <w:color w:val="auto"/>
          <w:kern w:val="0"/>
          <w:sz w:val="28"/>
          <w:szCs w:val="28"/>
          <w:highlight w:val="none"/>
          <w:u w:val="none"/>
          <w:lang w:val="en-US" w:eastAsia="zh-CN"/>
        </w:rPr>
        <w:t>中标产品的挂网流水号</w:t>
      </w:r>
      <w:r>
        <w:rPr>
          <w:rFonts w:hint="eastAsia" w:ascii="仿宋_GB2312" w:hAnsi="仿宋_GB2312" w:eastAsia="仿宋_GB2312" w:cs="仿宋_GB2312"/>
          <w:color w:val="auto"/>
          <w:kern w:val="0"/>
          <w:sz w:val="28"/>
          <w:szCs w:val="28"/>
          <w:highlight w:val="none"/>
          <w:u w:val="none"/>
        </w:rPr>
        <w:t>及挂网价；乙方保证根据挂网市场价格</w:t>
      </w:r>
      <w:r>
        <w:rPr>
          <w:rFonts w:hint="eastAsia" w:ascii="仿宋_GB2312" w:hAnsi="仿宋_GB2312" w:eastAsia="仿宋_GB2312" w:cs="仿宋_GB2312"/>
          <w:color w:val="auto"/>
          <w:kern w:val="0"/>
          <w:sz w:val="28"/>
          <w:szCs w:val="28"/>
          <w:highlight w:val="none"/>
          <w:u w:val="none"/>
          <w:lang w:eastAsia="zh-CN"/>
        </w:rPr>
        <w:t>动态执行挂网最低价；</w:t>
      </w:r>
      <w:r>
        <w:rPr>
          <w:rFonts w:hint="eastAsia" w:ascii="仿宋_GB2312" w:hAnsi="仿宋_GB2312" w:eastAsia="仿宋_GB2312" w:cs="仿宋_GB2312"/>
          <w:color w:val="auto"/>
          <w:kern w:val="0"/>
          <w:sz w:val="28"/>
          <w:szCs w:val="28"/>
          <w:highlight w:val="none"/>
          <w:u w:val="none"/>
        </w:rPr>
        <w:t>当挂网价下调时，乙方须</w:t>
      </w:r>
      <w:r>
        <w:rPr>
          <w:rFonts w:hint="eastAsia" w:ascii="仿宋_GB2312" w:hAnsi="仿宋_GB2312" w:eastAsia="仿宋_GB2312" w:cs="仿宋_GB2312"/>
          <w:color w:val="auto"/>
          <w:kern w:val="0"/>
          <w:sz w:val="28"/>
          <w:szCs w:val="28"/>
          <w:highlight w:val="none"/>
          <w:u w:val="none"/>
          <w:lang w:eastAsia="zh-CN"/>
        </w:rPr>
        <w:t>即时与甲方工作人员联系，并于</w:t>
      </w:r>
      <w:r>
        <w:rPr>
          <w:rFonts w:hint="eastAsia" w:ascii="仿宋_GB2312" w:hAnsi="仿宋_GB2312" w:eastAsia="仿宋_GB2312" w:cs="仿宋_GB2312"/>
          <w:color w:val="auto"/>
          <w:kern w:val="0"/>
          <w:sz w:val="28"/>
          <w:szCs w:val="28"/>
          <w:highlight w:val="none"/>
          <w:u w:val="none"/>
          <w:lang w:val="en-US" w:eastAsia="zh-CN"/>
        </w:rPr>
        <w:t>3个工作日内</w:t>
      </w:r>
      <w:r>
        <w:rPr>
          <w:rFonts w:hint="eastAsia" w:ascii="仿宋_GB2312" w:hAnsi="仿宋_GB2312" w:eastAsia="仿宋_GB2312" w:cs="仿宋_GB2312"/>
          <w:color w:val="auto"/>
          <w:kern w:val="0"/>
          <w:sz w:val="28"/>
          <w:szCs w:val="28"/>
          <w:highlight w:val="none"/>
          <w:u w:val="none"/>
        </w:rPr>
        <w:t>提供</w:t>
      </w:r>
      <w:r>
        <w:rPr>
          <w:rFonts w:hint="eastAsia" w:ascii="仿宋_GB2312" w:hAnsi="仿宋_GB2312" w:eastAsia="仿宋_GB2312" w:cs="仿宋_GB2312"/>
          <w:color w:val="auto"/>
          <w:kern w:val="0"/>
          <w:sz w:val="28"/>
          <w:szCs w:val="28"/>
          <w:highlight w:val="none"/>
          <w:u w:val="none"/>
          <w:lang w:eastAsia="zh-CN"/>
        </w:rPr>
        <w:t>书面</w:t>
      </w:r>
      <w:r>
        <w:rPr>
          <w:rFonts w:hint="eastAsia" w:ascii="仿宋_GB2312" w:hAnsi="仿宋_GB2312" w:eastAsia="仿宋_GB2312" w:cs="仿宋_GB2312"/>
          <w:color w:val="auto"/>
          <w:kern w:val="0"/>
          <w:sz w:val="28"/>
          <w:szCs w:val="28"/>
          <w:highlight w:val="none"/>
          <w:u w:val="none"/>
        </w:rPr>
        <w:t>调价函给甲方</w:t>
      </w:r>
      <w:r>
        <w:rPr>
          <w:rFonts w:hint="eastAsia" w:ascii="仿宋_GB2312" w:hAnsi="仿宋_GB2312" w:eastAsia="仿宋_GB2312" w:cs="仿宋_GB2312"/>
          <w:color w:val="auto"/>
          <w:kern w:val="0"/>
          <w:sz w:val="28"/>
          <w:szCs w:val="28"/>
          <w:highlight w:val="none"/>
          <w:u w:val="none"/>
          <w:lang w:eastAsia="zh-CN"/>
        </w:rPr>
        <w:t>设备科、物价科、使用科室作</w:t>
      </w:r>
      <w:r>
        <w:rPr>
          <w:rFonts w:hint="eastAsia" w:ascii="仿宋_GB2312" w:hAnsi="仿宋_GB2312" w:eastAsia="仿宋_GB2312" w:cs="仿宋_GB2312"/>
          <w:color w:val="auto"/>
          <w:kern w:val="0"/>
          <w:sz w:val="28"/>
          <w:szCs w:val="28"/>
          <w:highlight w:val="none"/>
          <w:u w:val="none"/>
        </w:rPr>
        <w:t>价格调整</w:t>
      </w:r>
      <w:r>
        <w:rPr>
          <w:rFonts w:hint="eastAsia" w:ascii="仿宋_GB2312" w:hAnsi="仿宋_GB2312" w:eastAsia="仿宋_GB2312" w:cs="仿宋_GB2312"/>
          <w:color w:val="auto"/>
          <w:kern w:val="0"/>
          <w:sz w:val="28"/>
          <w:szCs w:val="28"/>
          <w:highlight w:val="none"/>
          <w:u w:val="none"/>
          <w:lang w:eastAsia="zh-CN"/>
        </w:rPr>
        <w:t>和资料存档。否则由此引起结算付款时间迟延，责任乙方自负。</w:t>
      </w:r>
    </w:p>
    <w:p w14:paraId="586A7551">
      <w:pPr>
        <w:keepNext w:val="0"/>
        <w:keepLines w:val="0"/>
        <w:pageBreakBefore w:val="0"/>
        <w:kinsoku/>
        <w:wordWrap/>
        <w:overflowPunct/>
        <w:topLinePunct w:val="0"/>
        <w:autoSpaceDE/>
        <w:autoSpaceDN/>
        <w:bidi w:val="0"/>
        <w:adjustRightInd/>
        <w:spacing w:line="400" w:lineRule="exact"/>
        <w:ind w:firstLine="560" w:firstLineChars="200"/>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lang w:val="en-US" w:eastAsia="zh-CN"/>
        </w:rPr>
        <w:t>5.</w:t>
      </w:r>
      <w:r>
        <w:rPr>
          <w:rFonts w:hint="eastAsia" w:ascii="仿宋_GB2312" w:hAnsi="仿宋_GB2312" w:eastAsia="仿宋_GB2312" w:cs="仿宋_GB2312"/>
          <w:color w:val="auto"/>
          <w:sz w:val="28"/>
          <w:szCs w:val="28"/>
          <w:highlight w:val="none"/>
          <w:u w:val="none"/>
        </w:rPr>
        <w:t>按国家规定并满足产品特性、远距离运输以及储存要求，标识清楚</w:t>
      </w:r>
      <w:r>
        <w:rPr>
          <w:rFonts w:hint="eastAsia" w:ascii="仿宋_GB2312" w:hAnsi="仿宋_GB2312" w:eastAsia="仿宋_GB2312" w:cs="仿宋_GB2312"/>
          <w:color w:val="auto"/>
          <w:sz w:val="28"/>
          <w:szCs w:val="28"/>
          <w:highlight w:val="none"/>
          <w:u w:val="none"/>
          <w:lang w:eastAsia="zh-CN"/>
        </w:rPr>
        <w:t>，符合规定</w:t>
      </w:r>
      <w:r>
        <w:rPr>
          <w:rFonts w:hint="eastAsia" w:ascii="仿宋_GB2312" w:hAnsi="仿宋_GB2312" w:eastAsia="仿宋_GB2312" w:cs="仿宋_GB2312"/>
          <w:color w:val="auto"/>
          <w:sz w:val="28"/>
          <w:szCs w:val="28"/>
          <w:highlight w:val="none"/>
          <w:u w:val="none"/>
        </w:rPr>
        <w:t>。</w:t>
      </w:r>
    </w:p>
    <w:p w14:paraId="5D5A0D68">
      <w:pPr>
        <w:keepNext w:val="0"/>
        <w:keepLines w:val="0"/>
        <w:pageBreakBefore w:val="0"/>
        <w:kinsoku/>
        <w:wordWrap/>
        <w:overflowPunct/>
        <w:topLinePunct w:val="0"/>
        <w:autoSpaceDE/>
        <w:autoSpaceDN/>
        <w:bidi w:val="0"/>
        <w:adjustRightInd/>
        <w:spacing w:line="400" w:lineRule="exact"/>
        <w:ind w:firstLine="560" w:firstLineChars="200"/>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lang w:val="en-US" w:eastAsia="zh-CN"/>
        </w:rPr>
        <w:t>6.</w:t>
      </w:r>
      <w:r>
        <w:rPr>
          <w:rFonts w:hint="eastAsia" w:ascii="仿宋_GB2312" w:hAnsi="仿宋_GB2312" w:eastAsia="仿宋_GB2312" w:cs="仿宋_GB2312"/>
          <w:color w:val="auto"/>
          <w:sz w:val="28"/>
          <w:szCs w:val="28"/>
          <w:highlight w:val="none"/>
          <w:u w:val="none"/>
        </w:rPr>
        <w:t>乙方开具真实、合法、有效的</w:t>
      </w:r>
      <w:r>
        <w:rPr>
          <w:rFonts w:hint="eastAsia" w:ascii="仿宋_GB2312" w:hAnsi="仿宋_GB2312" w:eastAsia="仿宋_GB2312" w:cs="仿宋_GB2312"/>
          <w:color w:val="auto"/>
          <w:sz w:val="28"/>
          <w:szCs w:val="28"/>
          <w:highlight w:val="none"/>
          <w:u w:val="none"/>
          <w:lang w:val="en-US" w:eastAsia="zh-CN"/>
        </w:rPr>
        <w:t>税收</w:t>
      </w:r>
      <w:r>
        <w:rPr>
          <w:rFonts w:hint="eastAsia" w:ascii="仿宋_GB2312" w:hAnsi="仿宋_GB2312" w:eastAsia="仿宋_GB2312" w:cs="仿宋_GB2312"/>
          <w:color w:val="auto"/>
          <w:sz w:val="28"/>
          <w:szCs w:val="28"/>
          <w:highlight w:val="none"/>
          <w:u w:val="none"/>
        </w:rPr>
        <w:t>发票。开发票时应开具齐全、正确，</w:t>
      </w:r>
      <w:r>
        <w:rPr>
          <w:rFonts w:hint="eastAsia" w:ascii="仿宋_GB2312" w:hAnsi="仿宋_GB2312" w:eastAsia="仿宋_GB2312" w:cs="仿宋_GB2312"/>
          <w:color w:val="auto"/>
          <w:sz w:val="28"/>
          <w:szCs w:val="28"/>
          <w:highlight w:val="none"/>
          <w:u w:val="none"/>
          <w:lang w:eastAsia="zh-CN"/>
        </w:rPr>
        <w:t>产</w:t>
      </w:r>
      <w:r>
        <w:rPr>
          <w:rFonts w:hint="eastAsia" w:ascii="仿宋_GB2312" w:hAnsi="仿宋_GB2312" w:eastAsia="仿宋_GB2312" w:cs="仿宋_GB2312"/>
          <w:color w:val="auto"/>
          <w:sz w:val="28"/>
          <w:szCs w:val="28"/>
          <w:highlight w:val="none"/>
          <w:u w:val="none"/>
        </w:rPr>
        <w:t>品</w:t>
      </w:r>
      <w:r>
        <w:rPr>
          <w:rFonts w:hint="eastAsia" w:ascii="仿宋_GB2312" w:hAnsi="仿宋_GB2312" w:eastAsia="仿宋_GB2312" w:cs="仿宋_GB2312"/>
          <w:color w:val="auto"/>
          <w:sz w:val="28"/>
          <w:szCs w:val="28"/>
          <w:highlight w:val="none"/>
          <w:u w:val="none"/>
          <w:lang w:eastAsia="zh-CN"/>
        </w:rPr>
        <w:t>名称</w:t>
      </w:r>
      <w:r>
        <w:rPr>
          <w:rFonts w:hint="eastAsia" w:ascii="仿宋_GB2312" w:hAnsi="仿宋_GB2312" w:eastAsia="仿宋_GB2312" w:cs="仿宋_GB2312"/>
          <w:color w:val="auto"/>
          <w:sz w:val="28"/>
          <w:szCs w:val="28"/>
          <w:highlight w:val="none"/>
          <w:u w:val="none"/>
        </w:rPr>
        <w:t>、规格型号、数量、单价与合同</w:t>
      </w:r>
      <w:r>
        <w:rPr>
          <w:rFonts w:hint="eastAsia" w:ascii="仿宋_GB2312" w:hAnsi="仿宋_GB2312" w:eastAsia="仿宋_GB2312" w:cs="仿宋_GB2312"/>
          <w:color w:val="auto"/>
          <w:sz w:val="28"/>
          <w:szCs w:val="28"/>
          <w:highlight w:val="none"/>
          <w:u w:val="none"/>
          <w:lang w:eastAsia="zh-CN"/>
        </w:rPr>
        <w:t>或对应出库单</w:t>
      </w:r>
      <w:r>
        <w:rPr>
          <w:rFonts w:hint="eastAsia" w:ascii="仿宋_GB2312" w:hAnsi="仿宋_GB2312" w:eastAsia="仿宋_GB2312" w:cs="仿宋_GB2312"/>
          <w:color w:val="auto"/>
          <w:sz w:val="28"/>
          <w:szCs w:val="28"/>
          <w:highlight w:val="none"/>
          <w:u w:val="none"/>
        </w:rPr>
        <w:t>保持一致，同时在备注栏备注合同号。公司名称和银行账户信息有变，必须</w:t>
      </w:r>
      <w:r>
        <w:rPr>
          <w:rFonts w:hint="eastAsia" w:ascii="仿宋_GB2312" w:hAnsi="仿宋_GB2312" w:eastAsia="仿宋_GB2312" w:cs="仿宋_GB2312"/>
          <w:color w:val="auto"/>
          <w:sz w:val="28"/>
          <w:szCs w:val="28"/>
          <w:highlight w:val="none"/>
          <w:u w:val="none"/>
          <w:lang w:eastAsia="zh-CN"/>
        </w:rPr>
        <w:t>及时</w:t>
      </w:r>
      <w:r>
        <w:rPr>
          <w:rFonts w:hint="eastAsia" w:ascii="仿宋_GB2312" w:hAnsi="仿宋_GB2312" w:eastAsia="仿宋_GB2312" w:cs="仿宋_GB2312"/>
          <w:color w:val="auto"/>
          <w:sz w:val="28"/>
          <w:szCs w:val="28"/>
          <w:highlight w:val="none"/>
          <w:u w:val="none"/>
        </w:rPr>
        <w:t>以书面方式通知甲方。</w:t>
      </w:r>
    </w:p>
    <w:p w14:paraId="7D399098">
      <w:pPr>
        <w:keepNext w:val="0"/>
        <w:keepLines w:val="0"/>
        <w:pageBreakBefore w:val="0"/>
        <w:kinsoku/>
        <w:wordWrap/>
        <w:overflowPunct/>
        <w:topLinePunct w:val="0"/>
        <w:autoSpaceDE/>
        <w:autoSpaceDN/>
        <w:bidi w:val="0"/>
        <w:adjustRightInd/>
        <w:spacing w:line="400" w:lineRule="exact"/>
        <w:ind w:firstLine="560" w:firstLineChars="200"/>
        <w:textAlignment w:val="auto"/>
        <w:rPr>
          <w:rFonts w:hint="eastAsia" w:ascii="仿宋_GB2312" w:hAnsi="仿宋_GB2312" w:eastAsia="仿宋_GB2312" w:cs="仿宋_GB2312"/>
          <w:color w:val="auto"/>
          <w:sz w:val="28"/>
          <w:szCs w:val="28"/>
          <w:highlight w:val="none"/>
          <w:u w:val="none"/>
          <w:lang w:eastAsia="zh-CN"/>
        </w:rPr>
      </w:pPr>
      <w:r>
        <w:rPr>
          <w:rFonts w:hint="eastAsia" w:ascii="仿宋_GB2312" w:hAnsi="仿宋_GB2312" w:eastAsia="仿宋_GB2312" w:cs="仿宋_GB2312"/>
          <w:color w:val="auto"/>
          <w:sz w:val="28"/>
          <w:szCs w:val="28"/>
          <w:highlight w:val="none"/>
          <w:u w:val="none"/>
          <w:lang w:val="en-US" w:eastAsia="zh-CN"/>
        </w:rPr>
        <w:t>7.</w:t>
      </w:r>
      <w:r>
        <w:rPr>
          <w:rFonts w:hint="eastAsia" w:ascii="仿宋_GB2312" w:hAnsi="仿宋_GB2312" w:eastAsia="仿宋_GB2312" w:cs="仿宋_GB2312"/>
          <w:color w:val="auto"/>
          <w:sz w:val="28"/>
          <w:szCs w:val="28"/>
          <w:highlight w:val="none"/>
          <w:u w:val="none"/>
        </w:rPr>
        <w:t>乙方产品包装规格改变应立即书面通知甲方。</w:t>
      </w:r>
    </w:p>
    <w:p w14:paraId="427FB01A">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u w:val="none"/>
        </w:rPr>
      </w:pPr>
      <w:r>
        <w:rPr>
          <w:rFonts w:hint="eastAsia" w:ascii="仿宋_GB2312" w:hAnsi="仿宋_GB2312" w:eastAsia="仿宋_GB2312" w:cs="仿宋_GB2312"/>
          <w:color w:val="auto"/>
          <w:sz w:val="28"/>
          <w:szCs w:val="28"/>
          <w:highlight w:val="none"/>
          <w:u w:val="none"/>
          <w:lang w:val="en-US" w:eastAsia="zh-CN"/>
        </w:rPr>
        <w:t>8.</w:t>
      </w:r>
      <w:r>
        <w:rPr>
          <w:rFonts w:hint="eastAsia" w:ascii="仿宋_GB2312" w:hAnsi="仿宋_GB2312" w:eastAsia="仿宋_GB2312" w:cs="仿宋_GB2312"/>
          <w:snapToGrid w:val="0"/>
          <w:color w:val="auto"/>
          <w:sz w:val="28"/>
          <w:szCs w:val="28"/>
          <w:highlight w:val="none"/>
          <w:u w:val="none"/>
        </w:rPr>
        <w:t>乙</w:t>
      </w:r>
      <w:r>
        <w:rPr>
          <w:rFonts w:hint="eastAsia" w:ascii="仿宋_GB2312" w:hAnsi="仿宋_GB2312" w:eastAsia="仿宋_GB2312" w:cs="仿宋_GB2312"/>
          <w:snapToGrid w:val="0"/>
          <w:color w:val="auto"/>
          <w:sz w:val="28"/>
          <w:szCs w:val="28"/>
          <w:u w:val="none"/>
        </w:rPr>
        <w:t>方须按甲方供货要求供货，原则上供货时间不超过72小时（偏僻地区除外），应急</w:t>
      </w:r>
      <w:r>
        <w:rPr>
          <w:rFonts w:hint="eastAsia" w:ascii="仿宋_GB2312" w:hAnsi="仿宋_GB2312" w:eastAsia="仿宋_GB2312" w:cs="仿宋_GB2312"/>
          <w:color w:val="auto"/>
          <w:sz w:val="28"/>
          <w:szCs w:val="28"/>
          <w:u w:val="none"/>
        </w:rPr>
        <w:t>医用耗材</w:t>
      </w:r>
      <w:r>
        <w:rPr>
          <w:rFonts w:hint="eastAsia" w:ascii="仿宋_GB2312" w:hAnsi="仿宋_GB2312" w:eastAsia="仿宋_GB2312" w:cs="仿宋_GB2312"/>
          <w:snapToGrid w:val="0"/>
          <w:color w:val="auto"/>
          <w:sz w:val="28"/>
          <w:szCs w:val="28"/>
          <w:u w:val="none"/>
        </w:rPr>
        <w:t>原则上须在8小时内送到（偏僻地区除外）。节假日应照常配送。</w:t>
      </w:r>
    </w:p>
    <w:p w14:paraId="788B910D">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u w:val="none"/>
        </w:rPr>
      </w:pPr>
      <w:r>
        <w:rPr>
          <w:rFonts w:hint="eastAsia" w:ascii="仿宋_GB2312" w:hAnsi="仿宋_GB2312" w:eastAsia="仿宋_GB2312" w:cs="仿宋_GB2312"/>
          <w:snapToGrid w:val="0"/>
          <w:color w:val="auto"/>
          <w:sz w:val="28"/>
          <w:szCs w:val="28"/>
          <w:u w:val="none"/>
          <w:lang w:val="en-US" w:eastAsia="zh-CN"/>
        </w:rPr>
        <w:t>9.</w:t>
      </w:r>
      <w:r>
        <w:rPr>
          <w:rFonts w:hint="eastAsia" w:ascii="仿宋_GB2312" w:hAnsi="仿宋_GB2312" w:eastAsia="仿宋_GB2312" w:cs="仿宋_GB2312"/>
          <w:snapToGrid w:val="0"/>
          <w:color w:val="auto"/>
          <w:sz w:val="28"/>
          <w:szCs w:val="28"/>
          <w:u w:val="none"/>
        </w:rPr>
        <w:t>甲方对不符合质量、有效期、包装、订单数量和双方约定的其他要求的产品，有权拒绝接收，乙方应对不符合要求的产品在3日内进行</w:t>
      </w:r>
      <w:r>
        <w:rPr>
          <w:rFonts w:hint="eastAsia" w:ascii="仿宋_GB2312" w:hAnsi="仿宋_GB2312" w:eastAsia="仿宋_GB2312" w:cs="仿宋_GB2312"/>
          <w:snapToGrid w:val="0"/>
          <w:color w:val="auto"/>
          <w:sz w:val="28"/>
          <w:szCs w:val="28"/>
          <w:u w:val="none"/>
          <w:lang w:eastAsia="zh-CN"/>
        </w:rPr>
        <w:t>免费</w:t>
      </w:r>
      <w:r>
        <w:rPr>
          <w:rFonts w:hint="eastAsia" w:ascii="仿宋_GB2312" w:hAnsi="仿宋_GB2312" w:eastAsia="仿宋_GB2312" w:cs="仿宋_GB2312"/>
          <w:snapToGrid w:val="0"/>
          <w:color w:val="auto"/>
          <w:sz w:val="28"/>
          <w:szCs w:val="28"/>
          <w:u w:val="none"/>
        </w:rPr>
        <w:t>更换，</w:t>
      </w:r>
      <w:r>
        <w:rPr>
          <w:rFonts w:hint="eastAsia" w:ascii="仿宋_GB2312" w:hAnsi="仿宋_GB2312" w:eastAsia="仿宋_GB2312" w:cs="仿宋_GB2312"/>
          <w:snapToGrid w:val="0"/>
          <w:color w:val="auto"/>
          <w:sz w:val="28"/>
          <w:szCs w:val="28"/>
          <w:u w:val="none"/>
          <w:lang w:eastAsia="zh-CN"/>
        </w:rPr>
        <w:t>且</w:t>
      </w:r>
      <w:r>
        <w:rPr>
          <w:rFonts w:hint="eastAsia" w:ascii="仿宋_GB2312" w:hAnsi="仿宋_GB2312" w:eastAsia="仿宋_GB2312" w:cs="仿宋_GB2312"/>
          <w:snapToGrid w:val="0"/>
          <w:color w:val="auto"/>
          <w:sz w:val="28"/>
          <w:szCs w:val="28"/>
          <w:u w:val="none"/>
        </w:rPr>
        <w:t>不得影响甲方的临床使用。</w:t>
      </w:r>
    </w:p>
    <w:p w14:paraId="49A22DE9">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u w:val="none"/>
        </w:rPr>
      </w:pPr>
      <w:r>
        <w:rPr>
          <w:rFonts w:hint="eastAsia" w:ascii="仿宋_GB2312" w:hAnsi="仿宋_GB2312" w:eastAsia="仿宋_GB2312" w:cs="仿宋_GB2312"/>
          <w:snapToGrid w:val="0"/>
          <w:color w:val="auto"/>
          <w:sz w:val="28"/>
          <w:szCs w:val="28"/>
          <w:u w:val="none"/>
          <w:lang w:val="en-US" w:eastAsia="zh-CN"/>
        </w:rPr>
        <w:t>10.</w:t>
      </w:r>
      <w:r>
        <w:rPr>
          <w:rFonts w:hint="eastAsia" w:ascii="仿宋_GB2312" w:hAnsi="仿宋_GB2312" w:eastAsia="仿宋_GB2312" w:cs="仿宋_GB2312"/>
          <w:snapToGrid w:val="0"/>
          <w:color w:val="auto"/>
          <w:sz w:val="28"/>
          <w:szCs w:val="28"/>
          <w:highlight w:val="none"/>
          <w:u w:val="none"/>
          <w:lang w:eastAsia="zh-CN"/>
        </w:rPr>
        <w:t>挂网平台采购产品乙方应及</w:t>
      </w:r>
      <w:r>
        <w:rPr>
          <w:rFonts w:hint="eastAsia" w:ascii="仿宋_GB2312" w:hAnsi="仿宋_GB2312" w:eastAsia="仿宋_GB2312" w:cs="仿宋_GB2312"/>
          <w:snapToGrid w:val="0"/>
          <w:color w:val="auto"/>
          <w:sz w:val="28"/>
          <w:szCs w:val="28"/>
          <w:highlight w:val="none"/>
          <w:u w:val="none"/>
        </w:rPr>
        <w:t>时在网上完</w:t>
      </w:r>
      <w:r>
        <w:rPr>
          <w:rFonts w:hint="eastAsia" w:ascii="仿宋_GB2312" w:hAnsi="仿宋_GB2312" w:eastAsia="仿宋_GB2312" w:cs="仿宋_GB2312"/>
          <w:snapToGrid w:val="0"/>
          <w:color w:val="auto"/>
          <w:sz w:val="28"/>
          <w:szCs w:val="28"/>
          <w:u w:val="none"/>
        </w:rPr>
        <w:t>成</w:t>
      </w:r>
      <w:r>
        <w:rPr>
          <w:rFonts w:hint="eastAsia" w:ascii="仿宋_GB2312" w:hAnsi="仿宋_GB2312" w:eastAsia="仿宋_GB2312" w:cs="仿宋_GB2312"/>
          <w:snapToGrid w:val="0"/>
          <w:color w:val="auto"/>
          <w:sz w:val="28"/>
          <w:szCs w:val="28"/>
          <w:u w:val="none"/>
          <w:lang w:eastAsia="zh-CN"/>
        </w:rPr>
        <w:t>配送</w:t>
      </w:r>
      <w:r>
        <w:rPr>
          <w:rFonts w:hint="eastAsia" w:ascii="仿宋_GB2312" w:hAnsi="仿宋_GB2312" w:eastAsia="仿宋_GB2312" w:cs="仿宋_GB2312"/>
          <w:snapToGrid w:val="0"/>
          <w:color w:val="auto"/>
          <w:sz w:val="28"/>
          <w:szCs w:val="28"/>
          <w:u w:val="none"/>
        </w:rPr>
        <w:t>确认。</w:t>
      </w:r>
    </w:p>
    <w:p w14:paraId="7AC7E5FA">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黑体" w:hAnsi="仿宋" w:eastAsia="黑体"/>
          <w:snapToGrid w:val="0"/>
          <w:color w:val="auto"/>
          <w:sz w:val="28"/>
          <w:szCs w:val="28"/>
          <w:u w:val="none"/>
        </w:rPr>
      </w:pPr>
      <w:r>
        <w:rPr>
          <w:rFonts w:hint="eastAsia" w:ascii="黑体" w:hAnsi="仿宋" w:eastAsia="黑体"/>
          <w:snapToGrid w:val="0"/>
          <w:color w:val="auto"/>
          <w:sz w:val="28"/>
          <w:szCs w:val="28"/>
          <w:u w:val="none"/>
        </w:rPr>
        <w:t>六、货款结算</w:t>
      </w:r>
    </w:p>
    <w:p w14:paraId="4C81634C">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highlight w:val="none"/>
          <w:u w:val="none"/>
          <w:lang w:eastAsia="zh-CN"/>
        </w:rPr>
      </w:pPr>
      <w:r>
        <w:rPr>
          <w:rFonts w:hint="eastAsia" w:ascii="仿宋_GB2312" w:hAnsi="仿宋" w:eastAsia="仿宋_GB2312"/>
          <w:snapToGrid w:val="0"/>
          <w:color w:val="auto"/>
          <w:sz w:val="28"/>
          <w:szCs w:val="28"/>
          <w:highlight w:val="none"/>
          <w:u w:val="none"/>
          <w:lang w:eastAsia="zh-CN"/>
        </w:rPr>
        <w:t>1.结算时间：从产品交货验收合格甲方办理入账手续后，滚动付款时间原则上不超过264个工作日。</w:t>
      </w:r>
    </w:p>
    <w:p w14:paraId="0CFE4636">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highlight w:val="none"/>
          <w:u w:val="none"/>
          <w:lang w:eastAsia="zh-CN"/>
        </w:rPr>
      </w:pPr>
      <w:r>
        <w:rPr>
          <w:rFonts w:hint="eastAsia" w:ascii="仿宋_GB2312" w:hAnsi="仿宋" w:eastAsia="仿宋_GB2312"/>
          <w:snapToGrid w:val="0"/>
          <w:color w:val="auto"/>
          <w:sz w:val="28"/>
          <w:szCs w:val="28"/>
          <w:highlight w:val="none"/>
          <w:u w:val="none"/>
          <w:lang w:eastAsia="zh-CN"/>
        </w:rPr>
        <w:t>2.付款前，乙方应向甲方提供采购产品的发票和有关单据并完善相关支付手续后付款，未完善结付手续的，甲方有权暂停付款。</w:t>
      </w:r>
    </w:p>
    <w:p w14:paraId="503AEB59">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default" w:ascii="仿宋_GB2312" w:hAnsi="仿宋" w:eastAsia="仿宋_GB2312"/>
          <w:snapToGrid w:val="0"/>
          <w:color w:val="auto"/>
          <w:sz w:val="28"/>
          <w:szCs w:val="28"/>
          <w:highlight w:val="none"/>
          <w:u w:val="none"/>
          <w:lang w:val="en-US" w:eastAsia="zh-CN"/>
        </w:rPr>
      </w:pPr>
      <w:r>
        <w:rPr>
          <w:rFonts w:hint="eastAsia" w:ascii="仿宋_GB2312" w:hAnsi="仿宋" w:eastAsia="仿宋_GB2312"/>
          <w:snapToGrid w:val="0"/>
          <w:color w:val="auto"/>
          <w:sz w:val="28"/>
          <w:szCs w:val="28"/>
          <w:highlight w:val="none"/>
          <w:u w:val="none"/>
          <w:lang w:eastAsia="zh-CN"/>
        </w:rPr>
        <w:t>3．结算方式：转账到乙方公司签约账户或通过医用耗材招采管理系统回款。</w:t>
      </w:r>
    </w:p>
    <w:p w14:paraId="7258D002">
      <w:pPr>
        <w:keepNext w:val="0"/>
        <w:keepLines w:val="0"/>
        <w:pageBreakBefore w:val="0"/>
        <w:kinsoku/>
        <w:wordWrap/>
        <w:overflowPunct/>
        <w:topLinePunct w:val="0"/>
        <w:autoSpaceDE/>
        <w:autoSpaceDN/>
        <w:bidi w:val="0"/>
        <w:adjustRightInd/>
        <w:snapToGrid w:val="0"/>
        <w:spacing w:line="360" w:lineRule="exact"/>
        <w:ind w:firstLine="560" w:firstLineChars="200"/>
        <w:textAlignment w:val="auto"/>
        <w:rPr>
          <w:rFonts w:hint="eastAsia" w:ascii="黑体" w:hAnsi="黑体" w:eastAsia="黑体" w:cs="黑体"/>
          <w:b w:val="0"/>
          <w:bCs w:val="0"/>
          <w:snapToGrid w:val="0"/>
          <w:color w:val="auto"/>
          <w:sz w:val="28"/>
          <w:szCs w:val="28"/>
          <w:highlight w:val="none"/>
          <w:u w:val="none"/>
          <w:lang w:val="en-US" w:eastAsia="zh-CN"/>
        </w:rPr>
      </w:pPr>
      <w:r>
        <w:rPr>
          <w:rFonts w:hint="eastAsia" w:ascii="黑体" w:hAnsi="黑体" w:eastAsia="黑体" w:cs="黑体"/>
          <w:b w:val="0"/>
          <w:bCs w:val="0"/>
          <w:snapToGrid w:val="0"/>
          <w:color w:val="auto"/>
          <w:sz w:val="28"/>
          <w:szCs w:val="28"/>
          <w:highlight w:val="none"/>
          <w:u w:val="none"/>
          <w:lang w:val="en-US" w:eastAsia="zh-CN"/>
        </w:rPr>
        <w:t>七、售后服务</w:t>
      </w:r>
    </w:p>
    <w:p w14:paraId="4DCE0BB5">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highlight w:val="none"/>
          <w:u w:val="none"/>
          <w:lang w:val="en-US" w:eastAsia="zh-CN"/>
        </w:rPr>
      </w:pPr>
      <w:r>
        <w:rPr>
          <w:rFonts w:hint="eastAsia" w:ascii="仿宋_GB2312" w:hAnsi="仿宋" w:eastAsia="仿宋_GB2312"/>
          <w:snapToGrid w:val="0"/>
          <w:color w:val="auto"/>
          <w:sz w:val="28"/>
          <w:szCs w:val="28"/>
          <w:highlight w:val="none"/>
          <w:u w:val="none"/>
          <w:lang w:val="en-US" w:eastAsia="zh-CN"/>
        </w:rPr>
        <w:t xml:space="preserve">1.质保期（有效期）以出厂说明书等资料为准。质保期（有效期）内出现质量问题，乙方承担调换的费用；如货物经乙方3次更换仍不能达到本合同约定的质量标准，视作乙方未能按时交货，甲方有权退货并追究乙方的违约责任。  </w:t>
      </w:r>
    </w:p>
    <w:p w14:paraId="1A1EA99D">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highlight w:val="none"/>
          <w:u w:val="none"/>
          <w:lang w:val="en-US" w:eastAsia="zh-CN"/>
        </w:rPr>
      </w:pPr>
      <w:r>
        <w:rPr>
          <w:rFonts w:hint="eastAsia" w:ascii="仿宋_GB2312" w:hAnsi="仿宋" w:eastAsia="仿宋_GB2312"/>
          <w:snapToGrid w:val="0"/>
          <w:color w:val="auto"/>
          <w:sz w:val="28"/>
          <w:szCs w:val="28"/>
          <w:highlight w:val="none"/>
          <w:u w:val="none"/>
          <w:lang w:val="en-US" w:eastAsia="zh-CN"/>
        </w:rPr>
        <w:t>2.乙方须指派专人负责与甲方联系售后服务事宜。</w:t>
      </w:r>
    </w:p>
    <w:p w14:paraId="4CE72973">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default" w:ascii="仿宋_GB2312" w:hAnsi="仿宋" w:eastAsia="仿宋_GB2312"/>
          <w:snapToGrid w:val="0"/>
          <w:color w:val="auto"/>
          <w:sz w:val="28"/>
          <w:szCs w:val="28"/>
          <w:highlight w:val="none"/>
          <w:u w:val="none"/>
          <w:lang w:val="en-US" w:eastAsia="zh-CN"/>
        </w:rPr>
      </w:pPr>
      <w:r>
        <w:rPr>
          <w:rFonts w:hint="eastAsia" w:ascii="仿宋_GB2312" w:hAnsi="仿宋" w:eastAsia="仿宋_GB2312"/>
          <w:snapToGrid w:val="0"/>
          <w:color w:val="auto"/>
          <w:sz w:val="28"/>
          <w:szCs w:val="28"/>
          <w:highlight w:val="none"/>
          <w:u w:val="none"/>
          <w:lang w:val="en-US" w:eastAsia="zh-CN"/>
        </w:rPr>
        <w:t>乙方售后联系人员：</w:t>
      </w:r>
      <w:r>
        <w:rPr>
          <w:rFonts w:hint="eastAsia" w:ascii="仿宋_GB2312" w:hAnsi="仿宋" w:eastAsia="仿宋_GB2312"/>
          <w:snapToGrid w:val="0"/>
          <w:color w:val="auto"/>
          <w:sz w:val="28"/>
          <w:szCs w:val="28"/>
          <w:highlight w:val="none"/>
          <w:u w:val="single"/>
          <w:lang w:val="en-US" w:eastAsia="zh-CN"/>
        </w:rPr>
        <w:t xml:space="preserve">        </w:t>
      </w:r>
      <w:r>
        <w:rPr>
          <w:rFonts w:hint="eastAsia" w:ascii="仿宋_GB2312" w:hAnsi="仿宋" w:eastAsia="仿宋_GB2312"/>
          <w:snapToGrid w:val="0"/>
          <w:color w:val="auto"/>
          <w:sz w:val="28"/>
          <w:szCs w:val="28"/>
          <w:highlight w:val="none"/>
          <w:u w:val="none"/>
          <w:lang w:val="en-US" w:eastAsia="zh-CN"/>
        </w:rPr>
        <w:t>电话：</w:t>
      </w:r>
      <w:r>
        <w:rPr>
          <w:rFonts w:hint="eastAsia" w:ascii="仿宋_GB2312" w:hAnsi="仿宋" w:eastAsia="仿宋_GB2312"/>
          <w:snapToGrid w:val="0"/>
          <w:color w:val="auto"/>
          <w:sz w:val="28"/>
          <w:szCs w:val="28"/>
          <w:highlight w:val="none"/>
          <w:u w:val="single"/>
          <w:lang w:val="en-US" w:eastAsia="zh-CN"/>
        </w:rPr>
        <w:t xml:space="preserve">        </w:t>
      </w:r>
      <w:r>
        <w:rPr>
          <w:rFonts w:hint="eastAsia" w:ascii="仿宋_GB2312" w:hAnsi="仿宋" w:eastAsia="仿宋_GB2312"/>
          <w:snapToGrid w:val="0"/>
          <w:color w:val="auto"/>
          <w:sz w:val="28"/>
          <w:szCs w:val="28"/>
          <w:highlight w:val="none"/>
          <w:u w:val="none"/>
          <w:lang w:val="en-US" w:eastAsia="zh-CN"/>
        </w:rPr>
        <w:t>。</w:t>
      </w:r>
    </w:p>
    <w:p w14:paraId="1ABE8D72">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default" w:ascii="仿宋_GB2312" w:hAnsi="仿宋" w:eastAsia="仿宋_GB2312"/>
          <w:snapToGrid w:val="0"/>
          <w:color w:val="auto"/>
          <w:sz w:val="28"/>
          <w:szCs w:val="28"/>
          <w:highlight w:val="none"/>
          <w:u w:val="none"/>
          <w:lang w:val="en-US" w:eastAsia="zh-CN"/>
        </w:rPr>
      </w:pPr>
      <w:r>
        <w:rPr>
          <w:rFonts w:hint="eastAsia" w:ascii="仿宋_GB2312" w:hAnsi="仿宋" w:eastAsia="仿宋_GB2312"/>
          <w:snapToGrid w:val="0"/>
          <w:color w:val="auto"/>
          <w:sz w:val="28"/>
          <w:szCs w:val="28"/>
          <w:highlight w:val="none"/>
          <w:u w:val="none"/>
          <w:lang w:val="en-US" w:eastAsia="zh-CN"/>
        </w:rPr>
        <w:t>若乙方售后联系人员或联系方式发生变更，应在变更前3日内书面通知甲方，否则由乙方承担不利后果。</w:t>
      </w:r>
    </w:p>
    <w:p w14:paraId="40490E0F">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黑体" w:hAnsi="仿宋" w:eastAsia="黑体"/>
          <w:snapToGrid w:val="0"/>
          <w:color w:val="auto"/>
          <w:sz w:val="28"/>
          <w:szCs w:val="28"/>
          <w:u w:val="none"/>
        </w:rPr>
      </w:pPr>
      <w:r>
        <w:rPr>
          <w:rFonts w:hint="eastAsia" w:ascii="黑体" w:hAnsi="仿宋" w:eastAsia="黑体"/>
          <w:snapToGrid w:val="0"/>
          <w:color w:val="auto"/>
          <w:sz w:val="28"/>
          <w:szCs w:val="28"/>
          <w:u w:val="none"/>
          <w:lang w:val="en-US" w:eastAsia="zh-CN"/>
        </w:rPr>
        <w:t>八</w:t>
      </w:r>
      <w:r>
        <w:rPr>
          <w:rFonts w:hint="eastAsia" w:ascii="黑体" w:hAnsi="仿宋" w:eastAsia="黑体"/>
          <w:snapToGrid w:val="0"/>
          <w:color w:val="auto"/>
          <w:sz w:val="28"/>
          <w:szCs w:val="28"/>
          <w:u w:val="none"/>
        </w:rPr>
        <w:t>、违约责任</w:t>
      </w:r>
    </w:p>
    <w:p w14:paraId="6327F9C7">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楷体_GB2312" w:hAnsi="仿宋" w:eastAsia="楷体_GB2312"/>
          <w:snapToGrid w:val="0"/>
          <w:color w:val="auto"/>
          <w:sz w:val="28"/>
          <w:szCs w:val="28"/>
          <w:u w:val="none"/>
        </w:rPr>
      </w:pPr>
      <w:r>
        <w:rPr>
          <w:rFonts w:hint="eastAsia" w:ascii="楷体_GB2312" w:hAnsi="仿宋" w:eastAsia="楷体_GB2312"/>
          <w:snapToGrid w:val="0"/>
          <w:color w:val="auto"/>
          <w:sz w:val="28"/>
          <w:szCs w:val="28"/>
          <w:u w:val="none"/>
        </w:rPr>
        <w:t>（一）甲方违约责任。</w:t>
      </w:r>
    </w:p>
    <w:p w14:paraId="2917C0C1">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仿宋_GB2312" w:hAnsi="仿宋" w:eastAsia="仿宋_GB2312"/>
          <w:snapToGrid w:val="0"/>
          <w:color w:val="auto"/>
          <w:sz w:val="28"/>
          <w:szCs w:val="28"/>
        </w:rPr>
      </w:pPr>
      <w:r>
        <w:rPr>
          <w:rFonts w:hint="eastAsia" w:ascii="仿宋_GB2312" w:hAnsi="仿宋" w:eastAsia="仿宋_GB2312"/>
          <w:snapToGrid w:val="0"/>
          <w:color w:val="auto"/>
          <w:sz w:val="28"/>
          <w:szCs w:val="28"/>
          <w:u w:val="none"/>
        </w:rPr>
        <w:t>1</w:t>
      </w:r>
      <w:r>
        <w:rPr>
          <w:rFonts w:hint="eastAsia" w:ascii="仿宋_GB2312" w:hAnsi="仿宋" w:eastAsia="仿宋_GB2312"/>
          <w:snapToGrid w:val="0"/>
          <w:color w:val="auto"/>
          <w:sz w:val="28"/>
          <w:szCs w:val="28"/>
          <w:u w:val="none"/>
          <w:lang w:val="en-US" w:eastAsia="zh-CN"/>
        </w:rPr>
        <w:t>.</w:t>
      </w:r>
      <w:r>
        <w:rPr>
          <w:rFonts w:hint="eastAsia" w:ascii="仿宋_GB2312" w:hAnsi="仿宋" w:eastAsia="仿宋_GB2312"/>
          <w:snapToGrid w:val="0"/>
          <w:color w:val="auto"/>
          <w:sz w:val="28"/>
          <w:szCs w:val="28"/>
          <w:u w:val="none"/>
        </w:rPr>
        <w:t>甲方无正当理由拒收</w:t>
      </w:r>
      <w:r>
        <w:rPr>
          <w:rFonts w:hint="eastAsia" w:ascii="仿宋_GB2312" w:hAnsi="仿宋" w:eastAsia="仿宋_GB2312"/>
          <w:color w:val="auto"/>
          <w:sz w:val="28"/>
          <w:szCs w:val="28"/>
          <w:u w:val="none"/>
        </w:rPr>
        <w:t>医用耗材</w:t>
      </w:r>
      <w:r>
        <w:rPr>
          <w:rFonts w:hint="eastAsia" w:ascii="仿宋_GB2312" w:hAnsi="仿宋" w:eastAsia="仿宋_GB2312"/>
          <w:snapToGrid w:val="0"/>
          <w:color w:val="auto"/>
          <w:sz w:val="28"/>
          <w:szCs w:val="28"/>
          <w:u w:val="none"/>
        </w:rPr>
        <w:t>的，应偿付乙方本次货款总价百分之</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u w:val="single"/>
          <w:lang w:eastAsia="zh-CN"/>
        </w:rPr>
        <w:t>一</w:t>
      </w:r>
      <w:r>
        <w:rPr>
          <w:rFonts w:hint="eastAsia" w:ascii="仿宋_GB2312" w:hAnsi="仿宋" w:eastAsia="仿宋_GB2312"/>
          <w:snapToGrid w:val="0"/>
          <w:color w:val="auto"/>
          <w:sz w:val="28"/>
          <w:szCs w:val="28"/>
          <w:u w:val="none"/>
        </w:rPr>
        <w:t xml:space="preserve"> </w:t>
      </w:r>
      <w:r>
        <w:rPr>
          <w:rFonts w:hint="eastAsia" w:ascii="仿宋_GB2312" w:hAnsi="仿宋" w:eastAsia="仿宋_GB2312"/>
          <w:snapToGrid w:val="0"/>
          <w:color w:val="auto"/>
          <w:sz w:val="28"/>
          <w:szCs w:val="28"/>
        </w:rPr>
        <w:t>的违约金。</w:t>
      </w:r>
    </w:p>
    <w:p w14:paraId="039B9793">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仿宋_GB2312" w:hAnsi="仿宋" w:eastAsia="仿宋_GB2312"/>
          <w:snapToGrid w:val="0"/>
          <w:color w:val="auto"/>
          <w:sz w:val="28"/>
          <w:szCs w:val="28"/>
        </w:rPr>
      </w:pPr>
      <w:r>
        <w:rPr>
          <w:rFonts w:hint="eastAsia" w:ascii="仿宋_GB2312" w:hAnsi="仿宋" w:eastAsia="仿宋_GB2312"/>
          <w:snapToGrid w:val="0"/>
          <w:color w:val="auto"/>
          <w:sz w:val="28"/>
          <w:szCs w:val="28"/>
        </w:rPr>
        <w:t>2</w:t>
      </w:r>
      <w:r>
        <w:rPr>
          <w:rFonts w:hint="eastAsia" w:ascii="仿宋_GB2312" w:hAnsi="仿宋" w:eastAsia="仿宋_GB2312"/>
          <w:snapToGrid w:val="0"/>
          <w:color w:val="auto"/>
          <w:sz w:val="28"/>
          <w:szCs w:val="28"/>
          <w:lang w:val="en-US" w:eastAsia="zh-CN"/>
        </w:rPr>
        <w:t>.</w:t>
      </w:r>
      <w:r>
        <w:rPr>
          <w:rFonts w:hint="eastAsia" w:ascii="仿宋_GB2312" w:hAnsi="仿宋" w:eastAsia="仿宋_GB2312"/>
          <w:snapToGrid w:val="0"/>
          <w:color w:val="auto"/>
          <w:sz w:val="28"/>
          <w:szCs w:val="28"/>
        </w:rPr>
        <w:t>甲方逾期支付货款或以承兑汇票等方式变相拖延货款的，</w:t>
      </w:r>
      <w:r>
        <w:rPr>
          <w:rFonts w:hint="eastAsia" w:ascii="仿宋_GB2312" w:hAnsi="仿宋" w:eastAsia="仿宋_GB2312"/>
          <w:snapToGrid w:val="0"/>
          <w:color w:val="auto"/>
          <w:sz w:val="28"/>
          <w:szCs w:val="28"/>
          <w:lang w:eastAsia="zh-CN"/>
        </w:rPr>
        <w:t>当前</w:t>
      </w:r>
      <w:r>
        <w:rPr>
          <w:rFonts w:hint="eastAsia" w:ascii="仿宋_GB2312" w:hAnsi="仿宋" w:eastAsia="仿宋_GB2312"/>
          <w:snapToGrid w:val="0"/>
          <w:color w:val="auto"/>
          <w:sz w:val="28"/>
          <w:szCs w:val="28"/>
        </w:rPr>
        <w:t>应偿付乙方货款总价百分之</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u w:val="single"/>
          <w:lang w:eastAsia="zh-CN"/>
        </w:rPr>
        <w:t>一</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rPr>
        <w:t>的违约金。</w:t>
      </w:r>
    </w:p>
    <w:p w14:paraId="3A9D9E81">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仿宋_GB2312" w:hAnsi="仿宋" w:eastAsia="仿宋_GB2312"/>
          <w:snapToGrid w:val="0"/>
          <w:color w:val="auto"/>
          <w:sz w:val="28"/>
          <w:szCs w:val="28"/>
        </w:rPr>
      </w:pPr>
      <w:r>
        <w:rPr>
          <w:rFonts w:hint="eastAsia" w:ascii="仿宋_GB2312" w:hAnsi="仿宋" w:eastAsia="仿宋_GB2312"/>
          <w:snapToGrid w:val="0"/>
          <w:color w:val="auto"/>
          <w:sz w:val="28"/>
          <w:szCs w:val="28"/>
        </w:rPr>
        <w:t>3</w:t>
      </w:r>
      <w:r>
        <w:rPr>
          <w:rFonts w:hint="eastAsia" w:ascii="仿宋_GB2312" w:hAnsi="仿宋" w:eastAsia="仿宋_GB2312"/>
          <w:snapToGrid w:val="0"/>
          <w:color w:val="auto"/>
          <w:sz w:val="28"/>
          <w:szCs w:val="28"/>
          <w:lang w:val="en-US" w:eastAsia="zh-CN"/>
        </w:rPr>
        <w:t>.</w:t>
      </w:r>
      <w:r>
        <w:rPr>
          <w:rFonts w:hint="eastAsia" w:ascii="仿宋_GB2312" w:hAnsi="仿宋" w:eastAsia="仿宋_GB2312"/>
          <w:snapToGrid w:val="0"/>
          <w:color w:val="auto"/>
          <w:sz w:val="28"/>
          <w:szCs w:val="28"/>
        </w:rPr>
        <w:t>甲方无正当理由解除采购合同的，应偿付乙方合同中未履行货款总价百分之</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u w:val="single"/>
          <w:lang w:eastAsia="zh-CN"/>
        </w:rPr>
        <w:t>一</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rPr>
        <w:t>的违约金。</w:t>
      </w:r>
    </w:p>
    <w:p w14:paraId="0BEF30E4">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楷体_GB2312" w:hAnsi="仿宋" w:eastAsia="楷体_GB2312"/>
          <w:snapToGrid w:val="0"/>
          <w:color w:val="auto"/>
          <w:sz w:val="28"/>
          <w:szCs w:val="28"/>
        </w:rPr>
      </w:pPr>
      <w:r>
        <w:rPr>
          <w:rFonts w:hint="eastAsia" w:ascii="楷体_GB2312" w:hAnsi="仿宋" w:eastAsia="楷体_GB2312"/>
          <w:snapToGrid w:val="0"/>
          <w:color w:val="auto"/>
          <w:sz w:val="28"/>
          <w:szCs w:val="28"/>
        </w:rPr>
        <w:t>（二）乙方违约责任。</w:t>
      </w:r>
    </w:p>
    <w:p w14:paraId="687AD7D4">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ascii="仿宋_GB2312" w:hAnsi="仿宋" w:eastAsia="仿宋_GB2312"/>
          <w:snapToGrid w:val="0"/>
          <w:color w:val="auto"/>
          <w:sz w:val="28"/>
          <w:szCs w:val="28"/>
        </w:rPr>
      </w:pPr>
      <w:r>
        <w:rPr>
          <w:rFonts w:hint="eastAsia" w:ascii="仿宋_GB2312" w:hAnsi="仿宋" w:eastAsia="仿宋_GB2312"/>
          <w:snapToGrid w:val="0"/>
          <w:color w:val="auto"/>
          <w:sz w:val="28"/>
          <w:szCs w:val="28"/>
        </w:rPr>
        <w:t>1</w:t>
      </w:r>
      <w:r>
        <w:rPr>
          <w:rFonts w:hint="eastAsia" w:ascii="仿宋_GB2312" w:hAnsi="仿宋" w:eastAsia="仿宋_GB2312"/>
          <w:snapToGrid w:val="0"/>
          <w:color w:val="auto"/>
          <w:sz w:val="28"/>
          <w:szCs w:val="28"/>
          <w:lang w:val="en-US" w:eastAsia="zh-CN"/>
        </w:rPr>
        <w:t>.</w:t>
      </w:r>
      <w:r>
        <w:rPr>
          <w:rFonts w:hint="eastAsia" w:ascii="仿宋_GB2312" w:hAnsi="仿宋" w:eastAsia="仿宋_GB2312"/>
          <w:snapToGrid w:val="0"/>
          <w:color w:val="auto"/>
          <w:sz w:val="28"/>
          <w:szCs w:val="28"/>
        </w:rPr>
        <w:t>乙方供应</w:t>
      </w:r>
      <w:r>
        <w:rPr>
          <w:rFonts w:hint="eastAsia" w:ascii="仿宋_GB2312" w:hAnsi="仿宋" w:eastAsia="仿宋_GB2312"/>
          <w:snapToGrid w:val="0"/>
          <w:color w:val="auto"/>
          <w:sz w:val="28"/>
          <w:szCs w:val="28"/>
          <w:u w:val="none"/>
        </w:rPr>
        <w:t>的</w:t>
      </w:r>
      <w:r>
        <w:rPr>
          <w:rFonts w:hint="eastAsia" w:ascii="仿宋_GB2312" w:hAnsi="仿宋" w:eastAsia="仿宋_GB2312"/>
          <w:snapToGrid w:val="0"/>
          <w:color w:val="auto"/>
          <w:sz w:val="28"/>
          <w:szCs w:val="28"/>
          <w:u w:val="single"/>
          <w:lang w:val="en-US" w:eastAsia="zh-CN"/>
        </w:rPr>
        <w:t>产品及</w:t>
      </w:r>
      <w:r>
        <w:rPr>
          <w:rFonts w:hint="eastAsia" w:ascii="仿宋_GB2312" w:hAnsi="仿宋" w:eastAsia="仿宋_GB2312"/>
          <w:color w:val="auto"/>
          <w:sz w:val="28"/>
          <w:szCs w:val="28"/>
        </w:rPr>
        <w:t>医用耗材</w:t>
      </w:r>
      <w:r>
        <w:rPr>
          <w:rFonts w:hint="eastAsia" w:ascii="仿宋_GB2312" w:hAnsi="仿宋" w:eastAsia="仿宋_GB2312"/>
          <w:snapToGrid w:val="0"/>
          <w:color w:val="auto"/>
          <w:sz w:val="28"/>
          <w:szCs w:val="28"/>
        </w:rPr>
        <w:t>质量不符合合同规定的，应向甲方支付本次货款总价百分之</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u w:val="single"/>
          <w:lang w:val="en-US" w:eastAsia="zh-CN"/>
        </w:rPr>
        <w:t>十</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rPr>
        <w:t>的违约金，并须在合同规定的交货时间内更换合格的产品给甲方，否则，视作乙方不能交付产品而违约，按本条本款下述第“2”项规定由乙方偿付违约赔偿金给甲方。</w:t>
      </w:r>
    </w:p>
    <w:p w14:paraId="5E15A84A">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rPr>
      </w:pPr>
      <w:r>
        <w:rPr>
          <w:rFonts w:hint="eastAsia" w:ascii="仿宋_GB2312" w:hAnsi="仿宋" w:eastAsia="仿宋_GB2312"/>
          <w:snapToGrid w:val="0"/>
          <w:color w:val="auto"/>
          <w:sz w:val="28"/>
          <w:szCs w:val="28"/>
        </w:rPr>
        <w:t>2</w:t>
      </w:r>
      <w:r>
        <w:rPr>
          <w:rFonts w:hint="eastAsia" w:ascii="仿宋_GB2312" w:hAnsi="仿宋" w:eastAsia="仿宋_GB2312"/>
          <w:snapToGrid w:val="0"/>
          <w:color w:val="auto"/>
          <w:sz w:val="28"/>
          <w:szCs w:val="28"/>
          <w:lang w:val="en-US" w:eastAsia="zh-CN"/>
        </w:rPr>
        <w:t>.</w:t>
      </w:r>
      <w:r>
        <w:rPr>
          <w:rFonts w:hint="eastAsia" w:ascii="仿宋_GB2312" w:hAnsi="仿宋" w:eastAsia="仿宋_GB2312"/>
          <w:snapToGrid w:val="0"/>
          <w:color w:val="auto"/>
          <w:sz w:val="28"/>
          <w:szCs w:val="28"/>
        </w:rPr>
        <w:t>乙方不能按合同约定及时、足量供应产品而违约的，除应尽快按合同交付产品外，还应向甲方偿付逾期交货部分货款总额的</w:t>
      </w:r>
      <w:r>
        <w:rPr>
          <w:rFonts w:hint="eastAsia" w:ascii="仿宋_GB2312" w:hAnsi="仿宋" w:eastAsia="仿宋_GB2312"/>
          <w:snapToGrid w:val="0"/>
          <w:color w:val="auto"/>
          <w:sz w:val="28"/>
          <w:szCs w:val="28"/>
          <w:lang w:val="en-US" w:eastAsia="zh-CN"/>
        </w:rPr>
        <w:t>千</w:t>
      </w:r>
      <w:r>
        <w:rPr>
          <w:rFonts w:hint="eastAsia" w:ascii="仿宋_GB2312" w:hAnsi="仿宋" w:eastAsia="仿宋_GB2312"/>
          <w:snapToGrid w:val="0"/>
          <w:color w:val="auto"/>
          <w:sz w:val="28"/>
          <w:szCs w:val="28"/>
        </w:rPr>
        <w:t>分之</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u w:val="single"/>
          <w:lang w:eastAsia="zh-CN"/>
        </w:rPr>
        <w:t>一</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rPr>
        <w:t>/天的违约金；逾期交货超过</w:t>
      </w:r>
      <w:r>
        <w:rPr>
          <w:rFonts w:hint="eastAsia" w:ascii="仿宋_GB2312" w:hAnsi="仿宋" w:eastAsia="仿宋_GB2312"/>
          <w:snapToGrid w:val="0"/>
          <w:color w:val="auto"/>
          <w:sz w:val="28"/>
          <w:szCs w:val="28"/>
          <w:u w:val="single"/>
        </w:rPr>
        <w:t xml:space="preserve"> </w:t>
      </w:r>
      <w:r>
        <w:rPr>
          <w:rFonts w:ascii="仿宋_GB2312" w:hAnsi="仿宋" w:eastAsia="仿宋_GB2312"/>
          <w:snapToGrid w:val="0"/>
          <w:color w:val="auto"/>
          <w:sz w:val="28"/>
          <w:szCs w:val="28"/>
          <w:u w:val="single"/>
        </w:rPr>
        <w:t xml:space="preserve">7 </w:t>
      </w:r>
      <w:r>
        <w:rPr>
          <w:rFonts w:hint="eastAsia" w:ascii="仿宋_GB2312" w:hAnsi="仿宋" w:eastAsia="仿宋_GB2312"/>
          <w:snapToGrid w:val="0"/>
          <w:color w:val="auto"/>
          <w:sz w:val="28"/>
          <w:szCs w:val="28"/>
        </w:rPr>
        <w:t>天，甲方有权</w:t>
      </w:r>
      <w:r>
        <w:rPr>
          <w:rFonts w:hint="eastAsia" w:ascii="仿宋_GB2312" w:hAnsi="仿宋" w:eastAsia="仿宋_GB2312"/>
          <w:snapToGrid w:val="0"/>
          <w:color w:val="auto"/>
          <w:sz w:val="28"/>
          <w:szCs w:val="28"/>
          <w:lang w:eastAsia="zh-CN"/>
        </w:rPr>
        <w:t>解除</w:t>
      </w:r>
      <w:r>
        <w:rPr>
          <w:rFonts w:hint="eastAsia" w:ascii="仿宋_GB2312" w:hAnsi="仿宋" w:eastAsia="仿宋_GB2312"/>
          <w:snapToGrid w:val="0"/>
          <w:color w:val="auto"/>
          <w:sz w:val="28"/>
          <w:szCs w:val="28"/>
        </w:rPr>
        <w:t>合同，乙方则应按合同总价的百分之</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u w:val="single"/>
          <w:lang w:eastAsia="zh-CN"/>
        </w:rPr>
        <w:t>十</w:t>
      </w:r>
      <w:r>
        <w:rPr>
          <w:rFonts w:hint="eastAsia" w:ascii="仿宋_GB2312" w:hAnsi="仿宋" w:eastAsia="仿宋_GB2312"/>
          <w:snapToGrid w:val="0"/>
          <w:color w:val="auto"/>
          <w:sz w:val="28"/>
          <w:szCs w:val="28"/>
          <w:u w:val="single"/>
        </w:rPr>
        <w:t xml:space="preserve"> </w:t>
      </w:r>
      <w:r>
        <w:rPr>
          <w:rFonts w:hint="eastAsia" w:ascii="仿宋_GB2312" w:hAnsi="仿宋" w:eastAsia="仿宋_GB2312"/>
          <w:snapToGrid w:val="0"/>
          <w:color w:val="auto"/>
          <w:sz w:val="28"/>
          <w:szCs w:val="28"/>
        </w:rPr>
        <w:t>的款额向甲方偿付</w:t>
      </w:r>
      <w:r>
        <w:rPr>
          <w:rFonts w:hint="eastAsia" w:ascii="仿宋_GB2312" w:hAnsi="仿宋" w:eastAsia="仿宋_GB2312"/>
          <w:snapToGrid w:val="0"/>
          <w:color w:val="auto"/>
          <w:sz w:val="28"/>
          <w:szCs w:val="28"/>
          <w:lang w:eastAsia="zh-CN"/>
        </w:rPr>
        <w:t>违约</w:t>
      </w:r>
      <w:r>
        <w:rPr>
          <w:rFonts w:hint="eastAsia" w:ascii="仿宋_GB2312" w:hAnsi="仿宋" w:eastAsia="仿宋_GB2312"/>
          <w:snapToGrid w:val="0"/>
          <w:color w:val="auto"/>
          <w:sz w:val="28"/>
          <w:szCs w:val="28"/>
        </w:rPr>
        <w:t>赔偿金</w:t>
      </w:r>
      <w:r>
        <w:rPr>
          <w:rFonts w:hint="eastAsia" w:ascii="仿宋_GB2312" w:hAnsi="仿宋" w:eastAsia="仿宋_GB2312"/>
          <w:snapToGrid w:val="0"/>
          <w:color w:val="auto"/>
          <w:sz w:val="28"/>
          <w:szCs w:val="28"/>
          <w:lang w:eastAsia="zh-CN"/>
        </w:rPr>
        <w:t>，违约造成损失的，乙方应另行赔偿</w:t>
      </w:r>
      <w:r>
        <w:rPr>
          <w:rFonts w:hint="eastAsia" w:ascii="仿宋_GB2312" w:hAnsi="仿宋" w:eastAsia="仿宋_GB2312"/>
          <w:snapToGrid w:val="0"/>
          <w:color w:val="auto"/>
          <w:sz w:val="28"/>
          <w:szCs w:val="28"/>
        </w:rPr>
        <w:t>。</w:t>
      </w:r>
    </w:p>
    <w:p w14:paraId="2C5773F0">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color w:val="auto"/>
          <w:sz w:val="28"/>
          <w:szCs w:val="28"/>
          <w:highlight w:val="cyan"/>
          <w:lang w:val="en-US" w:eastAsia="zh-CN"/>
        </w:rPr>
      </w:pPr>
      <w:r>
        <w:rPr>
          <w:rFonts w:hint="eastAsia" w:ascii="仿宋_GB2312" w:hAnsi="仿宋_GB2312" w:eastAsia="仿宋_GB2312" w:cs="仿宋_GB2312"/>
          <w:color w:val="auto"/>
          <w:kern w:val="2"/>
          <w:sz w:val="28"/>
          <w:szCs w:val="28"/>
          <w:highlight w:val="none"/>
          <w:u w:val="none"/>
          <w:lang w:val="en-US" w:eastAsia="zh-CN" w:bidi="ar-SA"/>
        </w:rPr>
        <w:t>3.供应价不得高于合同价或挂网执行价。一经发现</w:t>
      </w:r>
      <w:r>
        <w:rPr>
          <w:rFonts w:hint="eastAsia" w:ascii="仿宋_GB2312" w:hAnsi="仿宋_GB2312" w:eastAsia="仿宋_GB2312" w:cs="仿宋_GB2312"/>
          <w:snapToGrid w:val="0"/>
          <w:color w:val="auto"/>
          <w:sz w:val="28"/>
          <w:szCs w:val="28"/>
        </w:rPr>
        <w:t>甲方有权终止合同，乙方则应按</w:t>
      </w:r>
      <w:r>
        <w:rPr>
          <w:rFonts w:hint="eastAsia" w:ascii="仿宋_GB2312" w:hAnsi="仿宋_GB2312" w:eastAsia="仿宋_GB2312" w:cs="仿宋_GB2312"/>
          <w:snapToGrid w:val="0"/>
          <w:color w:val="auto"/>
          <w:sz w:val="28"/>
          <w:szCs w:val="28"/>
          <w:lang w:val="en-US" w:eastAsia="zh-CN"/>
        </w:rPr>
        <w:t>当笔货款</w:t>
      </w:r>
      <w:r>
        <w:rPr>
          <w:rFonts w:hint="eastAsia" w:ascii="仿宋_GB2312" w:hAnsi="仿宋_GB2312" w:eastAsia="仿宋_GB2312" w:cs="仿宋_GB2312"/>
          <w:snapToGrid w:val="0"/>
          <w:color w:val="auto"/>
          <w:sz w:val="28"/>
          <w:szCs w:val="28"/>
        </w:rPr>
        <w:t>总价的</w:t>
      </w:r>
      <w:r>
        <w:rPr>
          <w:rFonts w:hint="eastAsia" w:ascii="仿宋_GB2312" w:hAnsi="仿宋_GB2312" w:eastAsia="仿宋_GB2312" w:cs="仿宋_GB2312"/>
          <w:snapToGrid w:val="0"/>
          <w:color w:val="auto"/>
          <w:sz w:val="28"/>
          <w:szCs w:val="28"/>
          <w:u w:val="none"/>
          <w:lang w:val="en-US" w:eastAsia="zh-CN"/>
        </w:rPr>
        <w:t>百分之</w:t>
      </w:r>
      <w:r>
        <w:rPr>
          <w:rFonts w:hint="eastAsia" w:ascii="仿宋_GB2312" w:hAnsi="仿宋_GB2312" w:eastAsia="仿宋_GB2312" w:cs="仿宋_GB2312"/>
          <w:snapToGrid w:val="0"/>
          <w:color w:val="auto"/>
          <w:sz w:val="28"/>
          <w:szCs w:val="28"/>
          <w:u w:val="single"/>
          <w:lang w:val="en-US" w:eastAsia="zh-CN"/>
        </w:rPr>
        <w:t>二十</w:t>
      </w:r>
      <w:r>
        <w:rPr>
          <w:rFonts w:hint="eastAsia" w:ascii="仿宋_GB2312" w:hAnsi="仿宋_GB2312" w:eastAsia="仿宋_GB2312" w:cs="仿宋_GB2312"/>
          <w:snapToGrid w:val="0"/>
          <w:color w:val="auto"/>
          <w:sz w:val="28"/>
          <w:szCs w:val="28"/>
          <w:u w:val="none"/>
        </w:rPr>
        <w:t xml:space="preserve"> </w:t>
      </w:r>
      <w:r>
        <w:rPr>
          <w:rFonts w:hint="eastAsia" w:ascii="仿宋_GB2312" w:hAnsi="仿宋_GB2312" w:eastAsia="仿宋_GB2312" w:cs="仿宋_GB2312"/>
          <w:snapToGrid w:val="0"/>
          <w:color w:val="auto"/>
          <w:sz w:val="28"/>
          <w:szCs w:val="28"/>
        </w:rPr>
        <w:t>向甲方偿付</w:t>
      </w:r>
      <w:r>
        <w:rPr>
          <w:rFonts w:hint="eastAsia" w:ascii="仿宋_GB2312" w:hAnsi="仿宋_GB2312" w:eastAsia="仿宋_GB2312" w:cs="仿宋_GB2312"/>
          <w:snapToGrid w:val="0"/>
          <w:color w:val="auto"/>
          <w:sz w:val="28"/>
          <w:szCs w:val="28"/>
          <w:lang w:eastAsia="zh-CN"/>
        </w:rPr>
        <w:t>违约</w:t>
      </w:r>
      <w:r>
        <w:rPr>
          <w:rFonts w:hint="eastAsia" w:ascii="仿宋_GB2312" w:hAnsi="仿宋_GB2312" w:eastAsia="仿宋_GB2312" w:cs="仿宋_GB2312"/>
          <w:snapToGrid w:val="0"/>
          <w:color w:val="auto"/>
          <w:sz w:val="28"/>
          <w:szCs w:val="28"/>
        </w:rPr>
        <w:t>赔偿金。</w:t>
      </w:r>
    </w:p>
    <w:p w14:paraId="121DC83C">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snapToGrid w:val="0"/>
          <w:color w:val="auto"/>
          <w:kern w:val="2"/>
          <w:sz w:val="28"/>
          <w:szCs w:val="28"/>
          <w:lang w:val="en-US" w:eastAsia="zh-CN" w:bidi="ar-SA"/>
        </w:rPr>
      </w:pPr>
      <w:r>
        <w:rPr>
          <w:rFonts w:hint="eastAsia" w:ascii="仿宋_GB2312" w:hAnsi="仿宋_GB2312" w:eastAsia="仿宋_GB2312" w:cs="仿宋_GB2312"/>
          <w:snapToGrid w:val="0"/>
          <w:color w:val="auto"/>
          <w:kern w:val="2"/>
          <w:sz w:val="28"/>
          <w:szCs w:val="28"/>
          <w:lang w:val="en-US" w:eastAsia="zh-CN" w:bidi="ar-SA"/>
        </w:rPr>
        <w:t>4.合同履行期间，发生如下任一不能挂网的情形，</w:t>
      </w:r>
      <w:r>
        <w:rPr>
          <w:rFonts w:hint="eastAsia" w:ascii="仿宋_GB2312" w:hAnsi="仿宋_GB2312" w:eastAsia="仿宋_GB2312" w:cs="仿宋_GB2312"/>
          <w:color w:val="auto"/>
          <w:kern w:val="2"/>
          <w:sz w:val="28"/>
          <w:szCs w:val="28"/>
          <w:highlight w:val="none"/>
          <w:u w:val="none"/>
          <w:lang w:val="en-US" w:eastAsia="zh-CN" w:bidi="ar-SA"/>
        </w:rPr>
        <w:t>一经发生，</w:t>
      </w:r>
      <w:r>
        <w:rPr>
          <w:rFonts w:hint="eastAsia" w:ascii="仿宋_GB2312" w:hAnsi="仿宋_GB2312" w:eastAsia="仿宋_GB2312" w:cs="仿宋_GB2312"/>
          <w:snapToGrid w:val="0"/>
          <w:color w:val="auto"/>
          <w:sz w:val="28"/>
          <w:szCs w:val="28"/>
        </w:rPr>
        <w:t>甲方有权终止合同，乙方则应按</w:t>
      </w:r>
      <w:r>
        <w:rPr>
          <w:rFonts w:hint="eastAsia" w:ascii="仿宋_GB2312" w:hAnsi="仿宋_GB2312" w:eastAsia="仿宋_GB2312" w:cs="仿宋_GB2312"/>
          <w:snapToGrid w:val="0"/>
          <w:color w:val="auto"/>
          <w:sz w:val="28"/>
          <w:szCs w:val="28"/>
          <w:lang w:val="en-US" w:eastAsia="zh-CN"/>
        </w:rPr>
        <w:t>当笔货款</w:t>
      </w:r>
      <w:r>
        <w:rPr>
          <w:rFonts w:hint="eastAsia" w:ascii="仿宋_GB2312" w:hAnsi="仿宋_GB2312" w:eastAsia="仿宋_GB2312" w:cs="仿宋_GB2312"/>
          <w:snapToGrid w:val="0"/>
          <w:color w:val="auto"/>
          <w:sz w:val="28"/>
          <w:szCs w:val="28"/>
        </w:rPr>
        <w:t>总价的</w:t>
      </w:r>
      <w:r>
        <w:rPr>
          <w:rFonts w:hint="eastAsia" w:ascii="仿宋_GB2312" w:hAnsi="仿宋_GB2312" w:eastAsia="仿宋_GB2312" w:cs="仿宋_GB2312"/>
          <w:snapToGrid w:val="0"/>
          <w:color w:val="auto"/>
          <w:sz w:val="28"/>
          <w:szCs w:val="28"/>
          <w:u w:val="none"/>
          <w:lang w:val="en-US" w:eastAsia="zh-CN"/>
        </w:rPr>
        <w:t>百分之</w:t>
      </w:r>
      <w:r>
        <w:rPr>
          <w:rFonts w:hint="eastAsia" w:ascii="仿宋_GB2312" w:hAnsi="仿宋_GB2312" w:eastAsia="仿宋_GB2312" w:cs="仿宋_GB2312"/>
          <w:snapToGrid w:val="0"/>
          <w:color w:val="auto"/>
          <w:sz w:val="28"/>
          <w:szCs w:val="28"/>
          <w:u w:val="single"/>
          <w:lang w:val="en-US" w:eastAsia="zh-CN"/>
        </w:rPr>
        <w:t>二十</w:t>
      </w:r>
      <w:r>
        <w:rPr>
          <w:rFonts w:hint="eastAsia" w:ascii="仿宋_GB2312" w:hAnsi="仿宋_GB2312" w:eastAsia="仿宋_GB2312" w:cs="仿宋_GB2312"/>
          <w:snapToGrid w:val="0"/>
          <w:color w:val="auto"/>
          <w:sz w:val="28"/>
          <w:szCs w:val="28"/>
          <w:u w:val="none"/>
        </w:rPr>
        <w:t xml:space="preserve"> </w:t>
      </w:r>
      <w:r>
        <w:rPr>
          <w:rFonts w:hint="eastAsia" w:ascii="仿宋_GB2312" w:hAnsi="仿宋_GB2312" w:eastAsia="仿宋_GB2312" w:cs="仿宋_GB2312"/>
          <w:snapToGrid w:val="0"/>
          <w:color w:val="auto"/>
          <w:sz w:val="28"/>
          <w:szCs w:val="28"/>
        </w:rPr>
        <w:t>向甲方偿付</w:t>
      </w:r>
      <w:r>
        <w:rPr>
          <w:rFonts w:hint="eastAsia" w:ascii="仿宋_GB2312" w:hAnsi="仿宋_GB2312" w:eastAsia="仿宋_GB2312" w:cs="仿宋_GB2312"/>
          <w:snapToGrid w:val="0"/>
          <w:color w:val="auto"/>
          <w:sz w:val="28"/>
          <w:szCs w:val="28"/>
          <w:lang w:eastAsia="zh-CN"/>
        </w:rPr>
        <w:t>违约</w:t>
      </w:r>
      <w:r>
        <w:rPr>
          <w:rFonts w:hint="eastAsia" w:ascii="仿宋_GB2312" w:hAnsi="仿宋_GB2312" w:eastAsia="仿宋_GB2312" w:cs="仿宋_GB2312"/>
          <w:snapToGrid w:val="0"/>
          <w:color w:val="auto"/>
          <w:sz w:val="28"/>
          <w:szCs w:val="28"/>
        </w:rPr>
        <w:t>赔偿金。</w:t>
      </w:r>
    </w:p>
    <w:p w14:paraId="373941FC">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snapToGrid w:val="0"/>
          <w:color w:val="auto"/>
          <w:kern w:val="2"/>
          <w:sz w:val="28"/>
          <w:szCs w:val="28"/>
          <w:lang w:val="en-US" w:eastAsia="zh-CN" w:bidi="ar-SA"/>
        </w:rPr>
      </w:pPr>
      <w:r>
        <w:rPr>
          <w:rFonts w:hint="eastAsia" w:ascii="仿宋_GB2312" w:hAnsi="仿宋_GB2312" w:eastAsia="仿宋_GB2312" w:cs="仿宋_GB2312"/>
          <w:snapToGrid w:val="0"/>
          <w:color w:val="auto"/>
          <w:kern w:val="2"/>
          <w:sz w:val="28"/>
          <w:szCs w:val="28"/>
          <w:lang w:val="en-US" w:eastAsia="zh-CN" w:bidi="ar-SA"/>
        </w:rPr>
        <w:t>①提供纳入集中采购目录的未挂网产品；</w:t>
      </w:r>
    </w:p>
    <w:p w14:paraId="26AF7FE1">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snapToGrid w:val="0"/>
          <w:color w:val="auto"/>
          <w:kern w:val="2"/>
          <w:sz w:val="28"/>
          <w:szCs w:val="28"/>
          <w:lang w:val="en-US" w:eastAsia="zh-CN" w:bidi="ar-SA"/>
        </w:rPr>
      </w:pPr>
      <w:r>
        <w:rPr>
          <w:rFonts w:hint="eastAsia" w:ascii="仿宋_GB2312" w:hAnsi="仿宋_GB2312" w:eastAsia="仿宋_GB2312" w:cs="仿宋_GB2312"/>
          <w:snapToGrid w:val="0"/>
          <w:color w:val="auto"/>
          <w:kern w:val="2"/>
          <w:sz w:val="28"/>
          <w:szCs w:val="28"/>
          <w:lang w:val="en-US" w:eastAsia="zh-CN" w:bidi="ar-SA"/>
        </w:rPr>
        <w:t>②提供虚假信息导致医院不能挂网采购的，包括但不限于承诺能挂网采购，实际供应货物时不能挂网，包括厂家不能勾选配送关系、不能以合同价确认挂网等；</w:t>
      </w:r>
    </w:p>
    <w:p w14:paraId="3024B476">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snapToGrid w:val="0"/>
          <w:color w:val="auto"/>
          <w:kern w:val="2"/>
          <w:sz w:val="28"/>
          <w:szCs w:val="28"/>
          <w:lang w:val="en-US" w:eastAsia="zh-CN" w:bidi="ar-SA"/>
        </w:rPr>
      </w:pPr>
      <w:r>
        <w:rPr>
          <w:rFonts w:hint="eastAsia" w:ascii="仿宋_GB2312" w:hAnsi="仿宋_GB2312" w:eastAsia="仿宋_GB2312" w:cs="仿宋_GB2312"/>
          <w:snapToGrid w:val="0"/>
          <w:color w:val="auto"/>
          <w:kern w:val="2"/>
          <w:sz w:val="28"/>
          <w:szCs w:val="28"/>
          <w:lang w:val="en-US" w:eastAsia="zh-CN" w:bidi="ar-SA"/>
        </w:rPr>
        <w:t>③提供错误挂网信息的；</w:t>
      </w:r>
    </w:p>
    <w:p w14:paraId="0C49C7BE">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snapToGrid w:val="0"/>
          <w:color w:val="auto"/>
          <w:kern w:val="2"/>
          <w:sz w:val="28"/>
          <w:szCs w:val="28"/>
          <w:lang w:val="en-US" w:eastAsia="zh-CN" w:bidi="ar-SA"/>
        </w:rPr>
      </w:pPr>
      <w:r>
        <w:rPr>
          <w:rFonts w:hint="eastAsia" w:ascii="仿宋_GB2312" w:hAnsi="仿宋_GB2312" w:eastAsia="仿宋_GB2312" w:cs="仿宋_GB2312"/>
          <w:snapToGrid w:val="0"/>
          <w:color w:val="auto"/>
          <w:kern w:val="2"/>
          <w:sz w:val="28"/>
          <w:szCs w:val="28"/>
          <w:lang w:val="en-US" w:eastAsia="zh-CN" w:bidi="ar-SA"/>
        </w:rPr>
        <w:t>④供应非价格联动专区产品或集中带量采购目录内但未在我院集采目录表内的产品未提前告知医院；</w:t>
      </w:r>
    </w:p>
    <w:p w14:paraId="04CE2472">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color w:val="auto"/>
          <w:kern w:val="2"/>
          <w:sz w:val="28"/>
          <w:szCs w:val="28"/>
          <w:highlight w:val="cyan"/>
          <w:u w:val="none"/>
          <w:lang w:val="en-US" w:eastAsia="zh-CN" w:bidi="ar-SA"/>
        </w:rPr>
      </w:pPr>
      <w:r>
        <w:rPr>
          <w:rFonts w:hint="eastAsia" w:ascii="仿宋_GB2312" w:hAnsi="仿宋_GB2312" w:eastAsia="仿宋_GB2312" w:cs="仿宋_GB2312"/>
          <w:snapToGrid w:val="0"/>
          <w:color w:val="auto"/>
          <w:kern w:val="2"/>
          <w:sz w:val="28"/>
          <w:szCs w:val="28"/>
          <w:lang w:val="en-US" w:eastAsia="zh-CN" w:bidi="ar-SA"/>
        </w:rPr>
        <w:t>⑤未及时通知医院调整价格，导致医院高于合同价或挂网价采购等。</w:t>
      </w:r>
    </w:p>
    <w:p w14:paraId="1061DA6D">
      <w:pPr>
        <w:pStyle w:val="3"/>
        <w:keepNext w:val="0"/>
        <w:keepLines w:val="0"/>
        <w:pageBreakBefore w:val="0"/>
        <w:widowControl w:val="0"/>
        <w:kinsoku/>
        <w:wordWrap/>
        <w:overflowPunct/>
        <w:topLinePunct w:val="0"/>
        <w:autoSpaceDE/>
        <w:autoSpaceDN/>
        <w:bidi w:val="0"/>
        <w:adjustRightInd/>
        <w:snapToGrid/>
        <w:spacing w:after="0" w:line="400" w:lineRule="exact"/>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snapToGrid w:val="0"/>
          <w:color w:val="auto"/>
          <w:kern w:val="2"/>
          <w:sz w:val="28"/>
          <w:szCs w:val="28"/>
          <w:lang w:val="en-US" w:eastAsia="zh-CN" w:bidi="ar-SA"/>
        </w:rPr>
        <w:t>5.未提前通知医院产品信息变更（包括停产、升级等问题），导致医院断货，影响甲方正常使用的，乙方应按当批次货物总价款的10%承担违约金，造成损失的，乙方应另行赔偿甲方直接损失。</w:t>
      </w:r>
    </w:p>
    <w:p w14:paraId="24BB0A25">
      <w:pPr>
        <w:keepNext w:val="0"/>
        <w:keepLines w:val="0"/>
        <w:pageBreakBefore w:val="0"/>
        <w:numPr>
          <w:ilvl w:val="0"/>
          <w:numId w:val="0"/>
        </w:numPr>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6.乙方须定期更新提供给甲方的所有存档资质。若甲方发现乙方未更换过期资质，首次给予口头或书面警告；再次发现，甲方有权解除合同，由此对甲方造成的一切不良后果均由乙方承担。</w:t>
      </w:r>
    </w:p>
    <w:p w14:paraId="7CA97766">
      <w:pPr>
        <w:keepNext w:val="0"/>
        <w:keepLines w:val="0"/>
        <w:pageBreakBefore w:val="0"/>
        <w:numPr>
          <w:ilvl w:val="0"/>
          <w:numId w:val="0"/>
        </w:numPr>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7.</w:t>
      </w:r>
      <w:r>
        <w:rPr>
          <w:rFonts w:hint="eastAsia" w:ascii="仿宋_GB2312" w:hAnsi="仿宋_GB2312" w:eastAsia="仿宋_GB2312" w:cs="仿宋_GB2312"/>
          <w:snapToGrid w:val="0"/>
          <w:color w:val="auto"/>
          <w:sz w:val="28"/>
          <w:szCs w:val="28"/>
        </w:rPr>
        <w:t>乙方承诺提供的全部产品不存在任何知识产权争议或其他纠纷，如因此造成乙方无法正常供货或第三方向甲方主张权利等纠纷，均与甲方无关，由乙方自行承担由此产生的所有费用。乙方除应向甲方返还已收款项外，还应另按合同总价的百分之十向甲方支付违约金并赔偿因此给甲方造成的一切损失</w:t>
      </w:r>
      <w:r>
        <w:rPr>
          <w:rFonts w:hint="eastAsia" w:ascii="仿宋_GB2312" w:hAnsi="仿宋_GB2312" w:eastAsia="仿宋_GB2312" w:cs="仿宋_GB2312"/>
          <w:snapToGrid w:val="0"/>
          <w:color w:val="auto"/>
          <w:sz w:val="28"/>
          <w:szCs w:val="28"/>
          <w:lang w:eastAsia="zh-CN"/>
        </w:rPr>
        <w:t>。</w:t>
      </w:r>
    </w:p>
    <w:p w14:paraId="2F130DBB">
      <w:pPr>
        <w:keepNext w:val="0"/>
        <w:keepLines w:val="0"/>
        <w:pageBreakBefore w:val="0"/>
        <w:numPr>
          <w:ilvl w:val="0"/>
          <w:numId w:val="0"/>
        </w:numPr>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lang w:eastAsia="zh-CN"/>
        </w:rPr>
      </w:pPr>
      <w:r>
        <w:rPr>
          <w:rFonts w:hint="eastAsia" w:ascii="仿宋_GB2312" w:hAnsi="仿宋_GB2312" w:eastAsia="仿宋_GB2312" w:cs="仿宋_GB2312"/>
          <w:snapToGrid w:val="0"/>
          <w:color w:val="auto"/>
          <w:sz w:val="28"/>
          <w:szCs w:val="28"/>
          <w:lang w:val="en-US" w:eastAsia="zh-CN"/>
        </w:rPr>
        <w:t>8.</w:t>
      </w:r>
      <w:r>
        <w:rPr>
          <w:rFonts w:hint="eastAsia" w:ascii="仿宋_GB2312" w:hAnsi="仿宋_GB2312" w:eastAsia="仿宋_GB2312" w:cs="仿宋_GB2312"/>
          <w:snapToGrid w:val="0"/>
          <w:color w:val="auto"/>
          <w:sz w:val="28"/>
          <w:szCs w:val="28"/>
          <w:lang w:eastAsia="zh-CN"/>
        </w:rPr>
        <w:t>因货物的质量问题发生争议，由质量技术监督部门或其指定的质量鉴定机构进行质量鉴定。鉴定费由乙方垫付，货物符合</w:t>
      </w:r>
      <w:r>
        <w:rPr>
          <w:rFonts w:hint="eastAsia" w:ascii="仿宋_GB2312" w:hAnsi="仿宋_GB2312" w:eastAsia="仿宋_GB2312" w:cs="仿宋_GB2312"/>
          <w:snapToGrid w:val="0"/>
          <w:color w:val="auto"/>
          <w:sz w:val="28"/>
          <w:szCs w:val="28"/>
          <w:lang w:val="en-US" w:eastAsia="zh-CN"/>
        </w:rPr>
        <w:t>质量</w:t>
      </w:r>
      <w:r>
        <w:rPr>
          <w:rFonts w:hint="eastAsia" w:ascii="仿宋_GB2312" w:hAnsi="仿宋_GB2312" w:eastAsia="仿宋_GB2312" w:cs="仿宋_GB2312"/>
          <w:snapToGrid w:val="0"/>
          <w:color w:val="auto"/>
          <w:sz w:val="28"/>
          <w:szCs w:val="28"/>
          <w:lang w:eastAsia="zh-CN"/>
        </w:rPr>
        <w:t>标准的，鉴定费由甲方承担；货物不符合质量标准的，鉴定费由乙方承担。</w:t>
      </w:r>
    </w:p>
    <w:p w14:paraId="2CBFD1BD">
      <w:pPr>
        <w:keepNext w:val="0"/>
        <w:keepLines w:val="0"/>
        <w:pageBreakBefore w:val="0"/>
        <w:numPr>
          <w:ilvl w:val="0"/>
          <w:numId w:val="0"/>
        </w:numPr>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lang w:eastAsia="zh-CN"/>
        </w:rPr>
      </w:pPr>
      <w:r>
        <w:rPr>
          <w:rFonts w:hint="eastAsia" w:ascii="仿宋_GB2312" w:hAnsi="仿宋_GB2312" w:eastAsia="仿宋_GB2312" w:cs="仿宋_GB2312"/>
          <w:snapToGrid w:val="0"/>
          <w:color w:val="auto"/>
          <w:sz w:val="28"/>
          <w:szCs w:val="28"/>
          <w:lang w:val="en-US" w:eastAsia="zh-CN"/>
        </w:rPr>
        <w:t>9.</w:t>
      </w:r>
      <w:r>
        <w:rPr>
          <w:rFonts w:hint="eastAsia" w:ascii="仿宋_GB2312" w:hAnsi="仿宋_GB2312" w:eastAsia="仿宋_GB2312" w:cs="仿宋_GB2312"/>
          <w:snapToGrid w:val="0"/>
          <w:color w:val="auto"/>
          <w:sz w:val="28"/>
          <w:szCs w:val="28"/>
          <w:lang w:eastAsia="zh-CN"/>
        </w:rPr>
        <w:t>如因</w:t>
      </w:r>
      <w:r>
        <w:rPr>
          <w:rFonts w:hint="eastAsia" w:ascii="仿宋_GB2312" w:hAnsi="仿宋_GB2312" w:eastAsia="仿宋_GB2312" w:cs="仿宋_GB2312"/>
          <w:snapToGrid w:val="0"/>
          <w:color w:val="auto"/>
          <w:sz w:val="28"/>
          <w:szCs w:val="28"/>
          <w:lang w:val="en-US" w:eastAsia="zh-CN"/>
        </w:rPr>
        <w:t>耗材</w:t>
      </w:r>
      <w:r>
        <w:rPr>
          <w:rFonts w:hint="eastAsia" w:ascii="仿宋_GB2312" w:hAnsi="仿宋_GB2312" w:eastAsia="仿宋_GB2312" w:cs="仿宋_GB2312"/>
          <w:snapToGrid w:val="0"/>
          <w:color w:val="auto"/>
          <w:sz w:val="28"/>
          <w:szCs w:val="28"/>
          <w:lang w:eastAsia="zh-CN"/>
        </w:rPr>
        <w:t>质量瑕疵导致甲方无法正常使用或影响使用效果，由此导致甲方赔偿，乙方对此承担全部责任。</w:t>
      </w:r>
    </w:p>
    <w:p w14:paraId="67413716">
      <w:pPr>
        <w:pStyle w:val="3"/>
        <w:spacing w:after="0" w:line="400" w:lineRule="exac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 xml:space="preserve">    10.</w:t>
      </w:r>
      <w:r>
        <w:rPr>
          <w:rFonts w:hint="eastAsia" w:ascii="仿宋_GB2312" w:hAnsi="仿宋_GB2312" w:eastAsia="仿宋_GB2312" w:cs="仿宋_GB2312"/>
          <w:snapToGrid w:val="0"/>
          <w:color w:val="auto"/>
          <w:sz w:val="28"/>
          <w:szCs w:val="28"/>
        </w:rPr>
        <w:t>合同履</w:t>
      </w:r>
      <w:r>
        <w:rPr>
          <w:rFonts w:hint="eastAsia" w:ascii="仿宋_GB2312" w:hAnsi="仿宋_GB2312" w:eastAsia="仿宋_GB2312" w:cs="仿宋_GB2312"/>
          <w:snapToGrid w:val="0"/>
          <w:color w:val="auto"/>
          <w:sz w:val="28"/>
          <w:szCs w:val="28"/>
          <w:lang w:eastAsia="zh-CN"/>
        </w:rPr>
        <w:t>行</w:t>
      </w:r>
      <w:r>
        <w:rPr>
          <w:rFonts w:hint="eastAsia" w:ascii="仿宋_GB2312" w:hAnsi="仿宋_GB2312" w:eastAsia="仿宋_GB2312" w:cs="仿宋_GB2312"/>
          <w:snapToGrid w:val="0"/>
          <w:color w:val="auto"/>
          <w:sz w:val="28"/>
          <w:szCs w:val="28"/>
        </w:rPr>
        <w:t>期间，乙方不得以任何理由部分转让或全部转让其在本合同项内的权利和义务</w:t>
      </w:r>
      <w:r>
        <w:rPr>
          <w:rFonts w:hint="eastAsia" w:ascii="仿宋_GB2312" w:hAnsi="仿宋_GB2312" w:eastAsia="仿宋_GB2312" w:cs="仿宋_GB2312"/>
          <w:snapToGrid w:val="0"/>
          <w:color w:val="auto"/>
          <w:sz w:val="28"/>
          <w:szCs w:val="28"/>
          <w:lang w:eastAsia="zh-CN"/>
        </w:rPr>
        <w:t>，否则，甲方有权按当笔货款总价的</w:t>
      </w:r>
      <w:r>
        <w:rPr>
          <w:rFonts w:hint="eastAsia" w:ascii="仿宋_GB2312" w:hAnsi="仿宋_GB2312" w:eastAsia="仿宋_GB2312" w:cs="仿宋_GB2312"/>
          <w:snapToGrid w:val="0"/>
          <w:color w:val="auto"/>
          <w:sz w:val="28"/>
          <w:szCs w:val="28"/>
          <w:u w:val="none"/>
          <w:lang w:val="en-US" w:eastAsia="zh-CN"/>
        </w:rPr>
        <w:t>百分之</w:t>
      </w:r>
      <w:r>
        <w:rPr>
          <w:rFonts w:hint="eastAsia" w:ascii="仿宋_GB2312" w:hAnsi="仿宋_GB2312" w:eastAsia="仿宋_GB2312" w:cs="仿宋_GB2312"/>
          <w:snapToGrid w:val="0"/>
          <w:color w:val="auto"/>
          <w:sz w:val="28"/>
          <w:szCs w:val="28"/>
          <w:u w:val="single"/>
          <w:lang w:val="en-US" w:eastAsia="zh-CN"/>
        </w:rPr>
        <w:t>二十</w:t>
      </w:r>
      <w:r>
        <w:rPr>
          <w:rFonts w:hint="eastAsia" w:ascii="仿宋_GB2312" w:hAnsi="仿宋_GB2312" w:eastAsia="仿宋_GB2312" w:cs="仿宋_GB2312"/>
          <w:snapToGrid w:val="0"/>
          <w:color w:val="auto"/>
          <w:sz w:val="28"/>
          <w:szCs w:val="28"/>
          <w:u w:val="none"/>
        </w:rPr>
        <w:t xml:space="preserve"> </w:t>
      </w:r>
      <w:r>
        <w:rPr>
          <w:rFonts w:hint="eastAsia" w:ascii="仿宋_GB2312" w:hAnsi="仿宋_GB2312" w:eastAsia="仿宋_GB2312" w:cs="仿宋_GB2312"/>
          <w:snapToGrid w:val="0"/>
          <w:color w:val="auto"/>
          <w:sz w:val="28"/>
          <w:szCs w:val="28"/>
          <w:lang w:eastAsia="zh-CN"/>
        </w:rPr>
        <w:t>追究乙方的违约责任</w:t>
      </w:r>
      <w:r>
        <w:rPr>
          <w:rFonts w:hint="eastAsia" w:ascii="仿宋_GB2312" w:hAnsi="仿宋_GB2312" w:eastAsia="仿宋_GB2312" w:cs="仿宋_GB2312"/>
          <w:snapToGrid w:val="0"/>
          <w:color w:val="auto"/>
          <w:sz w:val="28"/>
          <w:szCs w:val="28"/>
        </w:rPr>
        <w:t>。</w:t>
      </w:r>
    </w:p>
    <w:p w14:paraId="592EE5EB">
      <w:pPr>
        <w:keepNext w:val="0"/>
        <w:keepLines w:val="0"/>
        <w:pageBreakBefore w:val="0"/>
        <w:numPr>
          <w:ilvl w:val="0"/>
          <w:numId w:val="0"/>
        </w:numPr>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lang w:val="en-US" w:eastAsia="zh-CN"/>
        </w:rPr>
        <w:t>11.违规供应不在合同目录范围内的产品，一经发现</w:t>
      </w:r>
      <w:r>
        <w:rPr>
          <w:rFonts w:hint="eastAsia" w:ascii="仿宋_GB2312" w:hAnsi="仿宋_GB2312" w:eastAsia="仿宋_GB2312" w:cs="仿宋_GB2312"/>
          <w:snapToGrid w:val="0"/>
          <w:color w:val="auto"/>
          <w:sz w:val="28"/>
          <w:szCs w:val="28"/>
        </w:rPr>
        <w:t>乙方则应按</w:t>
      </w:r>
      <w:r>
        <w:rPr>
          <w:rFonts w:hint="eastAsia" w:ascii="仿宋_GB2312" w:hAnsi="仿宋_GB2312" w:eastAsia="仿宋_GB2312" w:cs="仿宋_GB2312"/>
          <w:snapToGrid w:val="0"/>
          <w:color w:val="auto"/>
          <w:sz w:val="28"/>
          <w:szCs w:val="28"/>
          <w:lang w:val="en-US" w:eastAsia="zh-CN"/>
        </w:rPr>
        <w:t>当笔货款</w:t>
      </w:r>
      <w:r>
        <w:rPr>
          <w:rFonts w:hint="eastAsia" w:ascii="仿宋_GB2312" w:hAnsi="仿宋_GB2312" w:eastAsia="仿宋_GB2312" w:cs="仿宋_GB2312"/>
          <w:snapToGrid w:val="0"/>
          <w:color w:val="auto"/>
          <w:sz w:val="28"/>
          <w:szCs w:val="28"/>
        </w:rPr>
        <w:t>总价的</w:t>
      </w:r>
      <w:r>
        <w:rPr>
          <w:rFonts w:hint="eastAsia" w:ascii="仿宋_GB2312" w:hAnsi="仿宋_GB2312" w:eastAsia="仿宋_GB2312" w:cs="仿宋_GB2312"/>
          <w:snapToGrid w:val="0"/>
          <w:color w:val="auto"/>
          <w:sz w:val="28"/>
          <w:szCs w:val="28"/>
          <w:u w:val="none"/>
          <w:lang w:val="en-US" w:eastAsia="zh-CN"/>
        </w:rPr>
        <w:t>百分之</w:t>
      </w:r>
      <w:r>
        <w:rPr>
          <w:rFonts w:hint="eastAsia" w:ascii="仿宋_GB2312" w:hAnsi="仿宋_GB2312" w:eastAsia="仿宋_GB2312" w:cs="仿宋_GB2312"/>
          <w:snapToGrid w:val="0"/>
          <w:color w:val="auto"/>
          <w:sz w:val="28"/>
          <w:szCs w:val="28"/>
          <w:u w:val="single"/>
          <w:lang w:val="en-US" w:eastAsia="zh-CN"/>
        </w:rPr>
        <w:t>二十</w:t>
      </w:r>
      <w:r>
        <w:rPr>
          <w:rFonts w:hint="eastAsia" w:ascii="仿宋_GB2312" w:hAnsi="仿宋_GB2312" w:eastAsia="仿宋_GB2312" w:cs="仿宋_GB2312"/>
          <w:snapToGrid w:val="0"/>
          <w:color w:val="auto"/>
          <w:sz w:val="28"/>
          <w:szCs w:val="28"/>
          <w:u w:val="none"/>
        </w:rPr>
        <w:t xml:space="preserve"> </w:t>
      </w:r>
      <w:r>
        <w:rPr>
          <w:rFonts w:hint="eastAsia" w:ascii="仿宋_GB2312" w:hAnsi="仿宋_GB2312" w:eastAsia="仿宋_GB2312" w:cs="仿宋_GB2312"/>
          <w:snapToGrid w:val="0"/>
          <w:color w:val="auto"/>
          <w:sz w:val="28"/>
          <w:szCs w:val="28"/>
        </w:rPr>
        <w:t>的款额向甲方偿付赔偿金。</w:t>
      </w:r>
    </w:p>
    <w:p w14:paraId="5DB38340">
      <w:pPr>
        <w:keepNext w:val="0"/>
        <w:keepLines w:val="0"/>
        <w:pageBreakBefore w:val="0"/>
        <w:numPr>
          <w:ilvl w:val="0"/>
          <w:numId w:val="0"/>
        </w:numPr>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12.上述违约行为造成医院违反相关政策规定，或导致医院经济、名誉损失的，医院有权按相关规定追究乙方的违约赔偿责任。</w:t>
      </w:r>
    </w:p>
    <w:p w14:paraId="5AF4A74F">
      <w:pPr>
        <w:keepNext w:val="0"/>
        <w:keepLines w:val="0"/>
        <w:pageBreakBefore w:val="0"/>
        <w:numPr>
          <w:ilvl w:val="0"/>
          <w:numId w:val="0"/>
        </w:numPr>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lang w:val="en-US" w:eastAsia="zh-CN"/>
        </w:rPr>
        <w:t>13.本合同因违约造成的损失包括但不限于直接损失、签署合同时可预见的利益损失以及主张权益发生的公证费、鉴定费、诉讼费、</w:t>
      </w:r>
      <w:r>
        <w:rPr>
          <w:rFonts w:hint="eastAsia" w:ascii="仿宋_GB2312" w:hAnsi="仿宋_GB2312" w:eastAsia="仿宋_GB2312" w:cs="仿宋_GB2312"/>
          <w:snapToGrid w:val="0"/>
          <w:color w:val="auto"/>
          <w:sz w:val="28"/>
          <w:szCs w:val="28"/>
        </w:rPr>
        <w:t>律师</w:t>
      </w:r>
      <w:r>
        <w:rPr>
          <w:rFonts w:hint="eastAsia" w:ascii="仿宋_GB2312" w:hAnsi="仿宋_GB2312" w:eastAsia="仿宋_GB2312" w:cs="仿宋_GB2312"/>
          <w:snapToGrid w:val="0"/>
          <w:color w:val="auto"/>
          <w:sz w:val="28"/>
          <w:szCs w:val="28"/>
          <w:lang w:eastAsia="zh-CN"/>
        </w:rPr>
        <w:t>代理</w:t>
      </w:r>
      <w:r>
        <w:rPr>
          <w:rFonts w:hint="eastAsia" w:ascii="仿宋_GB2312" w:hAnsi="仿宋_GB2312" w:eastAsia="仿宋_GB2312" w:cs="仿宋_GB2312"/>
          <w:snapToGrid w:val="0"/>
          <w:color w:val="auto"/>
          <w:sz w:val="28"/>
          <w:szCs w:val="28"/>
        </w:rPr>
        <w:t>费、</w:t>
      </w:r>
      <w:r>
        <w:rPr>
          <w:rFonts w:hint="eastAsia" w:ascii="仿宋_GB2312" w:hAnsi="仿宋_GB2312" w:eastAsia="仿宋_GB2312" w:cs="仿宋_GB2312"/>
          <w:snapToGrid w:val="0"/>
          <w:color w:val="auto"/>
          <w:sz w:val="28"/>
          <w:szCs w:val="28"/>
          <w:lang w:eastAsia="zh-CN"/>
        </w:rPr>
        <w:t>诉讼</w:t>
      </w:r>
      <w:r>
        <w:rPr>
          <w:rFonts w:hint="eastAsia" w:ascii="仿宋_GB2312" w:hAnsi="仿宋_GB2312" w:eastAsia="仿宋_GB2312" w:cs="仿宋_GB2312"/>
          <w:snapToGrid w:val="0"/>
          <w:color w:val="auto"/>
          <w:sz w:val="28"/>
          <w:szCs w:val="28"/>
        </w:rPr>
        <w:t>保全费、</w:t>
      </w:r>
      <w:r>
        <w:rPr>
          <w:rFonts w:hint="eastAsia" w:ascii="仿宋_GB2312" w:hAnsi="仿宋_GB2312" w:eastAsia="仿宋_GB2312" w:cs="仿宋_GB2312"/>
          <w:snapToGrid w:val="0"/>
          <w:color w:val="auto"/>
          <w:sz w:val="28"/>
          <w:szCs w:val="28"/>
          <w:lang w:eastAsia="zh-CN"/>
        </w:rPr>
        <w:t>保函</w:t>
      </w:r>
      <w:r>
        <w:rPr>
          <w:rFonts w:hint="eastAsia" w:ascii="仿宋_GB2312" w:hAnsi="仿宋_GB2312" w:eastAsia="仿宋_GB2312" w:cs="仿宋_GB2312"/>
          <w:snapToGrid w:val="0"/>
          <w:color w:val="auto"/>
          <w:sz w:val="28"/>
          <w:szCs w:val="28"/>
        </w:rPr>
        <w:t>费、差旅费等）。</w:t>
      </w:r>
    </w:p>
    <w:p w14:paraId="12254723">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黑体" w:hAnsi="黑体" w:eastAsia="黑体" w:cs="黑体"/>
          <w:snapToGrid w:val="0"/>
          <w:color w:val="auto"/>
          <w:sz w:val="28"/>
          <w:szCs w:val="28"/>
        </w:rPr>
      </w:pPr>
      <w:r>
        <w:rPr>
          <w:rFonts w:hint="eastAsia" w:ascii="黑体" w:hAnsi="黑体" w:eastAsia="黑体" w:cs="黑体"/>
          <w:snapToGrid w:val="0"/>
          <w:color w:val="auto"/>
          <w:sz w:val="28"/>
          <w:szCs w:val="28"/>
          <w:lang w:val="en-US" w:eastAsia="zh-CN"/>
        </w:rPr>
        <w:t>九</w:t>
      </w:r>
      <w:r>
        <w:rPr>
          <w:rFonts w:hint="eastAsia" w:ascii="黑体" w:hAnsi="黑体" w:eastAsia="黑体" w:cs="黑体"/>
          <w:snapToGrid w:val="0"/>
          <w:color w:val="auto"/>
          <w:sz w:val="28"/>
          <w:szCs w:val="28"/>
        </w:rPr>
        <w:t>、不可抗力</w:t>
      </w:r>
    </w:p>
    <w:p w14:paraId="03E66A72">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rPr>
        <w:t>1</w:t>
      </w:r>
      <w:r>
        <w:rPr>
          <w:rFonts w:hint="eastAsia" w:ascii="仿宋_GB2312" w:hAnsi="仿宋_GB2312" w:eastAsia="仿宋_GB2312" w:cs="仿宋_GB2312"/>
          <w:snapToGrid w:val="0"/>
          <w:color w:val="auto"/>
          <w:sz w:val="28"/>
          <w:szCs w:val="28"/>
          <w:lang w:val="en-US" w:eastAsia="zh-CN"/>
        </w:rPr>
        <w:t>.</w:t>
      </w:r>
      <w:r>
        <w:rPr>
          <w:rFonts w:hint="eastAsia" w:ascii="仿宋_GB2312" w:hAnsi="仿宋_GB2312" w:eastAsia="仿宋_GB2312" w:cs="仿宋_GB2312"/>
          <w:snapToGrid w:val="0"/>
          <w:color w:val="auto"/>
          <w:sz w:val="28"/>
          <w:szCs w:val="28"/>
        </w:rPr>
        <w:t>本条所述的“不可抗力”是指受影响方无法控制、不可预见的事件，包括战争、严重火灾、洪水、台风、地震及其他双方认可的事件，不包括故意违约或疏忽。</w:t>
      </w:r>
    </w:p>
    <w:p w14:paraId="66D35204">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rPr>
        <w:t>2</w:t>
      </w:r>
      <w:r>
        <w:rPr>
          <w:rFonts w:hint="eastAsia" w:ascii="仿宋_GB2312" w:hAnsi="仿宋_GB2312" w:eastAsia="仿宋_GB2312" w:cs="仿宋_GB2312"/>
          <w:snapToGrid w:val="0"/>
          <w:color w:val="auto"/>
          <w:sz w:val="28"/>
          <w:szCs w:val="28"/>
          <w:lang w:val="en-US" w:eastAsia="zh-CN"/>
        </w:rPr>
        <w:t>.</w:t>
      </w:r>
      <w:r>
        <w:rPr>
          <w:rFonts w:hint="eastAsia" w:ascii="仿宋_GB2312" w:hAnsi="仿宋_GB2312" w:eastAsia="仿宋_GB2312" w:cs="仿宋_GB2312"/>
          <w:snapToGrid w:val="0"/>
          <w:color w:val="auto"/>
          <w:sz w:val="28"/>
          <w:szCs w:val="28"/>
        </w:rPr>
        <w:t>甲乙任何一方因不可抗力事件导致合同迟延履行或者不能履行的，不承担违约责任。</w:t>
      </w:r>
    </w:p>
    <w:p w14:paraId="22555A26">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rPr>
        <w:t>3</w:t>
      </w:r>
      <w:r>
        <w:rPr>
          <w:rFonts w:hint="eastAsia" w:ascii="仿宋_GB2312" w:hAnsi="仿宋_GB2312" w:eastAsia="仿宋_GB2312" w:cs="仿宋_GB2312"/>
          <w:snapToGrid w:val="0"/>
          <w:color w:val="auto"/>
          <w:sz w:val="28"/>
          <w:szCs w:val="28"/>
          <w:lang w:val="en-US" w:eastAsia="zh-CN"/>
        </w:rPr>
        <w:t>.</w:t>
      </w:r>
      <w:r>
        <w:rPr>
          <w:rFonts w:hint="eastAsia" w:ascii="仿宋_GB2312" w:hAnsi="仿宋_GB2312" w:eastAsia="仿宋_GB2312" w:cs="仿宋_GB2312"/>
          <w:snapToGrid w:val="0"/>
          <w:color w:val="auto"/>
          <w:sz w:val="28"/>
          <w:szCs w:val="28"/>
        </w:rPr>
        <w:t>在不可抗力事件发生后，遭遇不可抗力的一方应尽快以书面形式将不可抗力的情况和原因通知对方，除对方同意外，在不可抗力情形消除后应继续履行合同义务。</w:t>
      </w:r>
    </w:p>
    <w:p w14:paraId="37947300">
      <w:pPr>
        <w:keepNext w:val="0"/>
        <w:keepLines w:val="0"/>
        <w:pageBreakBefore w:val="0"/>
        <w:kinsoku/>
        <w:wordWrap/>
        <w:overflowPunct/>
        <w:topLinePunct w:val="0"/>
        <w:autoSpaceDE/>
        <w:autoSpaceDN/>
        <w:bidi w:val="0"/>
        <w:adjustRightInd/>
        <w:snapToGrid w:val="0"/>
        <w:spacing w:line="360" w:lineRule="exact"/>
        <w:ind w:firstLine="560" w:firstLineChars="200"/>
        <w:textAlignment w:val="auto"/>
        <w:rPr>
          <w:rFonts w:hint="eastAsia" w:ascii="黑体" w:hAnsi="黑体" w:eastAsia="黑体" w:cs="黑体"/>
          <w:snapToGrid w:val="0"/>
          <w:color w:val="auto"/>
          <w:sz w:val="28"/>
          <w:szCs w:val="28"/>
        </w:rPr>
      </w:pPr>
      <w:r>
        <w:rPr>
          <w:rFonts w:hint="eastAsia" w:ascii="黑体" w:hAnsi="黑体" w:eastAsia="黑体" w:cs="黑体"/>
          <w:snapToGrid w:val="0"/>
          <w:color w:val="auto"/>
          <w:sz w:val="28"/>
          <w:szCs w:val="28"/>
          <w:lang w:val="en-US" w:eastAsia="zh-CN"/>
        </w:rPr>
        <w:t>十</w:t>
      </w:r>
      <w:r>
        <w:rPr>
          <w:rFonts w:hint="eastAsia" w:ascii="黑体" w:hAnsi="黑体" w:eastAsia="黑体" w:cs="黑体"/>
          <w:snapToGrid w:val="0"/>
          <w:color w:val="auto"/>
          <w:sz w:val="28"/>
          <w:szCs w:val="28"/>
        </w:rPr>
        <w:t>、争议解决办法</w:t>
      </w:r>
    </w:p>
    <w:p w14:paraId="3B0ECC3E">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 w:hAnsi="仿宋" w:eastAsia="仿宋" w:cs="仿宋"/>
          <w:snapToGrid w:val="0"/>
          <w:color w:val="auto"/>
          <w:sz w:val="28"/>
          <w:szCs w:val="28"/>
          <w:lang w:val="en-US" w:eastAsia="zh-CN"/>
        </w:rPr>
      </w:pPr>
      <w:r>
        <w:rPr>
          <w:rFonts w:hint="eastAsia" w:ascii="仿宋" w:hAnsi="仿宋" w:eastAsia="仿宋" w:cs="仿宋"/>
          <w:snapToGrid w:val="0"/>
          <w:color w:val="auto"/>
          <w:sz w:val="28"/>
          <w:szCs w:val="28"/>
          <w:lang w:val="en-US" w:eastAsia="zh-CN"/>
        </w:rPr>
        <w:t xml:space="preserve"> 合同履行期间，若双方发生争执，可协商或由有关部门协调解决，协商或调解不成时，双方均可向甲方所在地人民法院提起诉讼。</w:t>
      </w:r>
    </w:p>
    <w:p w14:paraId="0B9972A6">
      <w:pPr>
        <w:keepNext w:val="0"/>
        <w:keepLines w:val="0"/>
        <w:pageBreakBefore w:val="0"/>
        <w:kinsoku/>
        <w:wordWrap/>
        <w:overflowPunct/>
        <w:topLinePunct w:val="0"/>
        <w:autoSpaceDE/>
        <w:autoSpaceDN/>
        <w:bidi w:val="0"/>
        <w:adjustRightInd/>
        <w:snapToGrid w:val="0"/>
        <w:spacing w:line="360" w:lineRule="exact"/>
        <w:ind w:firstLine="560" w:firstLineChars="200"/>
        <w:textAlignment w:val="auto"/>
        <w:rPr>
          <w:rFonts w:hint="eastAsia" w:ascii="黑体" w:hAnsi="黑体" w:eastAsia="黑体" w:cs="黑体"/>
          <w:snapToGrid w:val="0"/>
          <w:color w:val="auto"/>
          <w:sz w:val="28"/>
          <w:szCs w:val="28"/>
          <w:lang w:eastAsia="zh-CN"/>
        </w:rPr>
      </w:pPr>
      <w:r>
        <w:rPr>
          <w:rFonts w:hint="eastAsia" w:ascii="黑体" w:hAnsi="黑体" w:eastAsia="黑体" w:cs="黑体"/>
          <w:snapToGrid w:val="0"/>
          <w:color w:val="auto"/>
          <w:sz w:val="28"/>
          <w:szCs w:val="28"/>
          <w:lang w:eastAsia="zh-CN"/>
        </w:rPr>
        <w:t>十</w:t>
      </w:r>
      <w:r>
        <w:rPr>
          <w:rFonts w:hint="eastAsia" w:ascii="黑体" w:hAnsi="黑体" w:eastAsia="黑体" w:cs="黑体"/>
          <w:snapToGrid w:val="0"/>
          <w:color w:val="auto"/>
          <w:sz w:val="28"/>
          <w:szCs w:val="28"/>
          <w:lang w:val="en-US" w:eastAsia="zh-CN"/>
        </w:rPr>
        <w:t>一</w:t>
      </w:r>
      <w:r>
        <w:rPr>
          <w:rFonts w:hint="eastAsia" w:ascii="黑体" w:hAnsi="黑体" w:eastAsia="黑体" w:cs="黑体"/>
          <w:snapToGrid w:val="0"/>
          <w:color w:val="auto"/>
          <w:sz w:val="28"/>
          <w:szCs w:val="28"/>
          <w:lang w:eastAsia="zh-CN"/>
        </w:rPr>
        <w:t>、其他</w:t>
      </w:r>
    </w:p>
    <w:p w14:paraId="0B5F57AD">
      <w:pPr>
        <w:snapToGrid w:val="0"/>
        <w:spacing w:line="400" w:lineRule="exact"/>
        <w:ind w:firstLine="560" w:firstLineChars="200"/>
        <w:rPr>
          <w:rFonts w:ascii="仿宋_GB2312" w:hAnsi="仿宋" w:eastAsia="仿宋_GB2312"/>
          <w:snapToGrid w:val="0"/>
          <w:color w:val="auto"/>
          <w:sz w:val="28"/>
          <w:szCs w:val="28"/>
        </w:rPr>
      </w:pPr>
      <w:r>
        <w:rPr>
          <w:rFonts w:hint="eastAsia" w:ascii="仿宋_GB2312" w:hAnsi="仿宋" w:eastAsia="仿宋_GB2312"/>
          <w:snapToGrid w:val="0"/>
          <w:color w:val="auto"/>
          <w:sz w:val="28"/>
          <w:szCs w:val="28"/>
        </w:rPr>
        <w:t>1.双方未尽事宜，由甲乙双方协商</w:t>
      </w:r>
      <w:r>
        <w:rPr>
          <w:rFonts w:hint="eastAsia" w:ascii="仿宋_GB2312" w:hAnsi="仿宋" w:eastAsia="仿宋_GB2312"/>
          <w:snapToGrid w:val="0"/>
          <w:color w:val="auto"/>
          <w:sz w:val="28"/>
          <w:szCs w:val="28"/>
          <w:lang w:eastAsia="zh-CN"/>
        </w:rPr>
        <w:t>一致</w:t>
      </w:r>
      <w:r>
        <w:rPr>
          <w:rFonts w:hint="eastAsia" w:ascii="仿宋_GB2312" w:hAnsi="仿宋" w:eastAsia="仿宋_GB2312"/>
          <w:snapToGrid w:val="0"/>
          <w:color w:val="auto"/>
          <w:sz w:val="28"/>
          <w:szCs w:val="28"/>
        </w:rPr>
        <w:t>后签订补充</w:t>
      </w:r>
      <w:r>
        <w:rPr>
          <w:rFonts w:hint="eastAsia" w:ascii="仿宋_GB2312" w:hAnsi="仿宋" w:eastAsia="仿宋_GB2312"/>
          <w:snapToGrid w:val="0"/>
          <w:color w:val="auto"/>
          <w:sz w:val="28"/>
          <w:szCs w:val="28"/>
          <w:lang w:eastAsia="zh-CN"/>
        </w:rPr>
        <w:t>协议</w:t>
      </w:r>
      <w:r>
        <w:rPr>
          <w:rFonts w:hint="eastAsia" w:ascii="仿宋_GB2312" w:hAnsi="仿宋" w:eastAsia="仿宋_GB2312"/>
          <w:snapToGrid w:val="0"/>
          <w:color w:val="auto"/>
          <w:sz w:val="28"/>
          <w:szCs w:val="28"/>
        </w:rPr>
        <w:t>，</w:t>
      </w:r>
      <w:r>
        <w:rPr>
          <w:rFonts w:hint="eastAsia" w:ascii="仿宋_GB2312" w:hAnsi="仿宋" w:eastAsia="仿宋_GB2312"/>
          <w:snapToGrid w:val="0"/>
          <w:color w:val="auto"/>
          <w:sz w:val="28"/>
          <w:szCs w:val="28"/>
          <w:lang w:eastAsia="zh-CN"/>
        </w:rPr>
        <w:t>补充协议与本合同</w:t>
      </w:r>
      <w:r>
        <w:rPr>
          <w:rFonts w:hint="eastAsia" w:ascii="仿宋_GB2312" w:hAnsi="仿宋" w:eastAsia="仿宋_GB2312"/>
          <w:snapToGrid w:val="0"/>
          <w:color w:val="auto"/>
          <w:sz w:val="28"/>
          <w:szCs w:val="28"/>
        </w:rPr>
        <w:t>具有同等法律效力。</w:t>
      </w:r>
    </w:p>
    <w:p w14:paraId="73F0FACC">
      <w:pPr>
        <w:snapToGrid w:val="0"/>
        <w:spacing w:line="400" w:lineRule="exact"/>
        <w:ind w:firstLine="560" w:firstLineChars="200"/>
        <w:rPr>
          <w:rFonts w:ascii="仿宋_GB2312" w:hAnsi="仿宋" w:eastAsia="仿宋_GB2312"/>
          <w:snapToGrid w:val="0"/>
          <w:color w:val="auto"/>
          <w:sz w:val="28"/>
          <w:szCs w:val="28"/>
        </w:rPr>
      </w:pPr>
      <w:r>
        <w:rPr>
          <w:rFonts w:hint="eastAsia" w:ascii="仿宋_GB2312" w:hAnsi="仿宋" w:eastAsia="仿宋_GB2312"/>
          <w:snapToGrid w:val="0"/>
          <w:color w:val="auto"/>
          <w:sz w:val="28"/>
          <w:szCs w:val="28"/>
          <w:lang w:val="en-US" w:eastAsia="zh-CN"/>
        </w:rPr>
        <w:t>2</w:t>
      </w:r>
      <w:r>
        <w:rPr>
          <w:rFonts w:hint="eastAsia" w:ascii="仿宋_GB2312" w:hAnsi="仿宋" w:eastAsia="仿宋_GB2312"/>
          <w:snapToGrid w:val="0"/>
          <w:color w:val="auto"/>
          <w:sz w:val="28"/>
          <w:szCs w:val="28"/>
        </w:rPr>
        <w:t>.由配送企业作为乙方与甲方签订本合同的，必须将生产企业正式合法有效的委托书作为本合同的必须附件。</w:t>
      </w:r>
    </w:p>
    <w:p w14:paraId="681BF104">
      <w:pPr>
        <w:snapToGrid w:val="0"/>
        <w:spacing w:line="400" w:lineRule="exact"/>
        <w:ind w:firstLine="560" w:firstLineChars="200"/>
        <w:rPr>
          <w:rFonts w:hint="eastAsia" w:ascii="仿宋_GB2312" w:hAnsi="仿宋" w:eastAsia="仿宋_GB2312"/>
          <w:snapToGrid w:val="0"/>
          <w:color w:val="auto"/>
          <w:sz w:val="28"/>
          <w:szCs w:val="28"/>
          <w:lang w:val="en-US" w:eastAsia="zh-CN"/>
        </w:rPr>
      </w:pPr>
      <w:r>
        <w:rPr>
          <w:rFonts w:hint="eastAsia" w:ascii="仿宋_GB2312" w:hAnsi="仿宋" w:eastAsia="仿宋_GB2312"/>
          <w:snapToGrid w:val="0"/>
          <w:color w:val="auto"/>
          <w:sz w:val="28"/>
          <w:szCs w:val="28"/>
          <w:lang w:val="en-US" w:eastAsia="zh-CN"/>
        </w:rPr>
        <w:t>3</w:t>
      </w:r>
      <w:r>
        <w:rPr>
          <w:rFonts w:hint="eastAsia" w:ascii="仿宋_GB2312" w:hAnsi="仿宋" w:eastAsia="仿宋_GB2312"/>
          <w:snapToGrid w:val="0"/>
          <w:color w:val="auto"/>
          <w:sz w:val="28"/>
          <w:szCs w:val="28"/>
        </w:rPr>
        <w:t>.</w:t>
      </w:r>
      <w:r>
        <w:rPr>
          <w:rFonts w:hint="eastAsia" w:ascii="仿宋_GB2312" w:hAnsi="仿宋" w:eastAsia="仿宋_GB2312"/>
          <w:snapToGrid w:val="0"/>
          <w:color w:val="auto"/>
          <w:sz w:val="28"/>
          <w:szCs w:val="28"/>
          <w:lang w:val="en-US" w:eastAsia="zh-CN"/>
        </w:rPr>
        <w:t>通知和送达</w:t>
      </w:r>
    </w:p>
    <w:p w14:paraId="62592DCD">
      <w:pPr>
        <w:snapToGrid w:val="0"/>
        <w:spacing w:line="400" w:lineRule="exact"/>
        <w:ind w:firstLine="560" w:firstLineChars="200"/>
        <w:rPr>
          <w:rFonts w:eastAsia="仿宋_GB2312"/>
          <w:color w:val="auto"/>
          <w:sz w:val="28"/>
          <w:szCs w:val="28"/>
        </w:rPr>
      </w:pPr>
      <w:r>
        <w:rPr>
          <w:rFonts w:hint="eastAsia" w:ascii="仿宋_GB2312" w:hAnsi="仿宋" w:eastAsia="仿宋_GB2312"/>
          <w:snapToGrid w:val="0"/>
          <w:color w:val="auto"/>
          <w:sz w:val="28"/>
          <w:szCs w:val="28"/>
          <w:lang w:val="en-US" w:eastAsia="zh-CN"/>
        </w:rPr>
        <w:t>本合同首/尾部约定的联系地址、联系人、联系电话为工作联系往来、法律文书及争议解决时人民法院的法律文书送达地址，向合同任何一方的上述地址寄送文书的，无论退回与否，寄送五日后即视为有效送达。</w:t>
      </w:r>
    </w:p>
    <w:p w14:paraId="1F49530E">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default" w:ascii="仿宋_GB2312" w:hAnsi="仿宋" w:eastAsia="仿宋_GB2312"/>
          <w:snapToGrid w:val="0"/>
          <w:color w:val="auto"/>
          <w:sz w:val="28"/>
          <w:szCs w:val="28"/>
          <w:lang w:val="en-US" w:eastAsia="zh-CN"/>
        </w:rPr>
      </w:pPr>
      <w:r>
        <w:rPr>
          <w:rFonts w:hint="eastAsia" w:ascii="仿宋_GB2312" w:hAnsi="仿宋" w:eastAsia="仿宋_GB2312"/>
          <w:snapToGrid w:val="0"/>
          <w:color w:val="auto"/>
          <w:sz w:val="28"/>
          <w:szCs w:val="28"/>
          <w:lang w:val="en-US" w:eastAsia="zh-CN"/>
        </w:rPr>
        <w:t>4.本合同附件为合同不可分割的组成部分，与本合同具备同等法律效力。</w:t>
      </w:r>
    </w:p>
    <w:p w14:paraId="6ECC7B5E">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rPr>
      </w:pPr>
      <w:r>
        <w:rPr>
          <w:rFonts w:hint="eastAsia" w:ascii="仿宋_GB2312" w:hAnsi="仿宋" w:eastAsia="仿宋_GB2312"/>
          <w:snapToGrid w:val="0"/>
          <w:color w:val="auto"/>
          <w:sz w:val="28"/>
          <w:szCs w:val="28"/>
          <w:lang w:val="en-US" w:eastAsia="zh-CN"/>
        </w:rPr>
        <w:t>5</w:t>
      </w:r>
      <w:r>
        <w:rPr>
          <w:rFonts w:hint="eastAsia" w:ascii="仿宋_GB2312" w:hAnsi="仿宋" w:eastAsia="仿宋_GB2312"/>
          <w:snapToGrid w:val="0"/>
          <w:color w:val="auto"/>
          <w:sz w:val="28"/>
          <w:szCs w:val="28"/>
        </w:rPr>
        <w:t>.本合同一式</w:t>
      </w:r>
      <w:r>
        <w:rPr>
          <w:rFonts w:hint="eastAsia" w:ascii="仿宋_GB2312" w:hAnsi="仿宋" w:eastAsia="仿宋_GB2312"/>
          <w:snapToGrid w:val="0"/>
          <w:color w:val="auto"/>
          <w:sz w:val="28"/>
          <w:szCs w:val="28"/>
          <w:lang w:val="en-US" w:eastAsia="zh-CN"/>
        </w:rPr>
        <w:t>四</w:t>
      </w:r>
      <w:r>
        <w:rPr>
          <w:rFonts w:hint="eastAsia" w:ascii="仿宋_GB2312" w:hAnsi="仿宋" w:eastAsia="仿宋_GB2312"/>
          <w:snapToGrid w:val="0"/>
          <w:color w:val="auto"/>
          <w:sz w:val="28"/>
          <w:szCs w:val="28"/>
        </w:rPr>
        <w:t>份，自双方签章之日起生效。甲方</w:t>
      </w:r>
      <w:r>
        <w:rPr>
          <w:rFonts w:hint="eastAsia" w:ascii="仿宋_GB2312" w:hAnsi="仿宋" w:eastAsia="仿宋_GB2312"/>
          <w:snapToGrid w:val="0"/>
          <w:color w:val="auto"/>
          <w:sz w:val="28"/>
          <w:szCs w:val="28"/>
          <w:lang w:val="en-US" w:eastAsia="zh-CN"/>
        </w:rPr>
        <w:t>三</w:t>
      </w:r>
      <w:r>
        <w:rPr>
          <w:rFonts w:hint="eastAsia" w:ascii="仿宋_GB2312" w:hAnsi="仿宋" w:eastAsia="仿宋_GB2312"/>
          <w:snapToGrid w:val="0"/>
          <w:color w:val="auto"/>
          <w:sz w:val="28"/>
          <w:szCs w:val="28"/>
        </w:rPr>
        <w:t>份，乙方一份。</w:t>
      </w:r>
    </w:p>
    <w:p w14:paraId="50324B8D">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highlight w:val="none"/>
          <w:lang w:eastAsia="zh-CN"/>
        </w:rPr>
      </w:pPr>
    </w:p>
    <w:p w14:paraId="59776A90">
      <w:pPr>
        <w:keepNext w:val="0"/>
        <w:keepLines w:val="0"/>
        <w:pageBreakBefore w:val="0"/>
        <w:kinsoku/>
        <w:wordWrap/>
        <w:overflowPunct/>
        <w:topLinePunct w:val="0"/>
        <w:autoSpaceDE/>
        <w:autoSpaceDN/>
        <w:bidi w:val="0"/>
        <w:adjustRightInd/>
        <w:snapToGrid w:val="0"/>
        <w:spacing w:line="400" w:lineRule="exact"/>
        <w:ind w:firstLine="4200" w:firstLineChars="1500"/>
        <w:textAlignment w:val="auto"/>
        <w:rPr>
          <w:rFonts w:hint="eastAsia" w:ascii="仿宋_GB2312" w:hAnsi="仿宋" w:eastAsia="仿宋_GB2312"/>
          <w:snapToGrid w:val="0"/>
          <w:color w:val="auto"/>
          <w:sz w:val="28"/>
          <w:szCs w:val="28"/>
          <w:highlight w:val="none"/>
          <w:lang w:val="en-US" w:eastAsia="zh-CN"/>
        </w:rPr>
      </w:pPr>
      <w:r>
        <w:rPr>
          <w:rFonts w:hint="eastAsia" w:ascii="仿宋_GB2312" w:hAnsi="仿宋" w:eastAsia="仿宋_GB2312"/>
          <w:snapToGrid w:val="0"/>
          <w:color w:val="auto"/>
          <w:sz w:val="28"/>
          <w:szCs w:val="28"/>
          <w:highlight w:val="none"/>
          <w:lang w:eastAsia="zh-CN"/>
        </w:rPr>
        <w:t>（</w:t>
      </w:r>
      <w:r>
        <w:rPr>
          <w:rFonts w:hint="eastAsia" w:ascii="仿宋_GB2312" w:hAnsi="仿宋" w:eastAsia="仿宋_GB2312"/>
          <w:snapToGrid w:val="0"/>
          <w:color w:val="auto"/>
          <w:sz w:val="28"/>
          <w:szCs w:val="28"/>
          <w:highlight w:val="none"/>
          <w:lang w:val="en-US" w:eastAsia="zh-CN"/>
        </w:rPr>
        <w:t>以下无正文）</w:t>
      </w:r>
    </w:p>
    <w:p w14:paraId="6FCC7D6B">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highlight w:val="none"/>
          <w:lang w:val="en-US" w:eastAsia="zh-CN"/>
        </w:rPr>
      </w:pPr>
      <w:r>
        <w:rPr>
          <w:rFonts w:hint="eastAsia" w:ascii="仿宋_GB2312" w:hAnsi="仿宋" w:eastAsia="仿宋_GB2312"/>
          <w:snapToGrid w:val="0"/>
          <w:color w:val="auto"/>
          <w:sz w:val="28"/>
          <w:szCs w:val="28"/>
          <w:highlight w:val="none"/>
          <w:lang w:val="en-US" w:eastAsia="zh-CN"/>
        </w:rPr>
        <w:t>附件1：《产品信息表》</w:t>
      </w:r>
    </w:p>
    <w:p w14:paraId="6E4944DD">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rPr>
      </w:pPr>
      <w:r>
        <w:rPr>
          <w:rFonts w:hint="eastAsia" w:ascii="仿宋_GB2312" w:hAnsi="仿宋" w:eastAsia="仿宋_GB2312"/>
          <w:snapToGrid w:val="0"/>
          <w:color w:val="auto"/>
          <w:sz w:val="28"/>
          <w:szCs w:val="28"/>
          <w:lang w:val="en-US" w:eastAsia="zh-CN"/>
        </w:rPr>
        <w:t>附件2：《</w:t>
      </w:r>
      <w:r>
        <w:rPr>
          <w:rFonts w:hint="eastAsia" w:ascii="仿宋_GB2312" w:hAnsi="仿宋" w:eastAsia="仿宋_GB2312"/>
          <w:snapToGrid w:val="0"/>
          <w:color w:val="auto"/>
          <w:sz w:val="28"/>
          <w:szCs w:val="28"/>
        </w:rPr>
        <w:t>医疗器械廉洁购销协议</w:t>
      </w:r>
      <w:r>
        <w:rPr>
          <w:rFonts w:hint="eastAsia" w:ascii="仿宋_GB2312" w:hAnsi="仿宋" w:eastAsia="仿宋_GB2312"/>
          <w:snapToGrid w:val="0"/>
          <w:color w:val="auto"/>
          <w:sz w:val="28"/>
          <w:szCs w:val="28"/>
          <w:lang w:val="en-US" w:eastAsia="zh-CN"/>
        </w:rPr>
        <w:t>》</w:t>
      </w:r>
    </w:p>
    <w:p w14:paraId="07488462">
      <w:pPr>
        <w:keepNext w:val="0"/>
        <w:keepLines w:val="0"/>
        <w:pageBreakBefore w:val="0"/>
        <w:kinsoku/>
        <w:wordWrap/>
        <w:overflowPunct/>
        <w:topLinePunct w:val="0"/>
        <w:autoSpaceDE/>
        <w:autoSpaceDN/>
        <w:bidi w:val="0"/>
        <w:adjustRightInd/>
        <w:snapToGrid w:val="0"/>
        <w:spacing w:line="400" w:lineRule="exact"/>
        <w:ind w:firstLine="560" w:firstLineChars="200"/>
        <w:textAlignment w:val="auto"/>
        <w:rPr>
          <w:rFonts w:hint="eastAsia" w:ascii="仿宋_GB2312" w:hAnsi="仿宋" w:eastAsia="仿宋_GB2312"/>
          <w:snapToGrid w:val="0"/>
          <w:color w:val="auto"/>
          <w:sz w:val="28"/>
          <w:szCs w:val="28"/>
          <w:lang w:val="en-US" w:eastAsia="zh-CN"/>
        </w:rPr>
      </w:pPr>
      <w:r>
        <w:rPr>
          <w:rFonts w:hint="eastAsia" w:ascii="仿宋_GB2312" w:hAnsi="仿宋" w:eastAsia="仿宋_GB2312"/>
          <w:snapToGrid w:val="0"/>
          <w:color w:val="auto"/>
          <w:sz w:val="28"/>
          <w:szCs w:val="28"/>
          <w:lang w:val="en-US" w:eastAsia="zh-CN"/>
        </w:rPr>
        <w:t>附件3：《</w:t>
      </w:r>
      <w:r>
        <w:rPr>
          <w:rFonts w:hint="eastAsia" w:ascii="仿宋_GB2312" w:hAnsi="仿宋" w:eastAsia="仿宋_GB2312"/>
          <w:snapToGrid w:val="0"/>
          <w:color w:val="auto"/>
          <w:sz w:val="28"/>
          <w:szCs w:val="28"/>
        </w:rPr>
        <w:t>医疗器械质量保证协议</w:t>
      </w:r>
      <w:r>
        <w:rPr>
          <w:rFonts w:hint="eastAsia" w:ascii="仿宋_GB2312" w:hAnsi="仿宋" w:eastAsia="仿宋_GB2312"/>
          <w:snapToGrid w:val="0"/>
          <w:color w:val="auto"/>
          <w:sz w:val="28"/>
          <w:szCs w:val="28"/>
          <w:lang w:val="en-US" w:eastAsia="zh-CN"/>
        </w:rPr>
        <w:t>》</w:t>
      </w:r>
    </w:p>
    <w:p w14:paraId="1347A970">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napToGrid w:val="0"/>
          <w:color w:val="auto"/>
          <w:sz w:val="28"/>
          <w:szCs w:val="28"/>
        </w:rPr>
      </w:pPr>
    </w:p>
    <w:p w14:paraId="19ED66E7">
      <w:pPr>
        <w:pStyle w:val="3"/>
        <w:rPr>
          <w:rFonts w:hint="eastAsia"/>
          <w:color w:val="auto"/>
        </w:rPr>
      </w:pPr>
    </w:p>
    <w:p w14:paraId="7D0544AF">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napToGrid w:val="0"/>
          <w:color w:val="auto"/>
          <w:sz w:val="28"/>
          <w:szCs w:val="28"/>
        </w:rPr>
      </w:pPr>
    </w:p>
    <w:p w14:paraId="3709BA62">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napToGrid w:val="0"/>
          <w:color w:val="auto"/>
          <w:sz w:val="28"/>
          <w:szCs w:val="28"/>
        </w:rPr>
      </w:pPr>
    </w:p>
    <w:p w14:paraId="577DA98D">
      <w:pPr>
        <w:keepNext w:val="0"/>
        <w:keepLines w:val="0"/>
        <w:pageBreakBefore w:val="0"/>
        <w:kinsoku/>
        <w:wordWrap/>
        <w:overflowPunct/>
        <w:topLinePunct w:val="0"/>
        <w:autoSpaceDE/>
        <w:autoSpaceDN/>
        <w:bidi w:val="0"/>
        <w:adjustRightInd/>
        <w:snapToGrid w:val="0"/>
        <w:spacing w:line="440" w:lineRule="exact"/>
        <w:ind w:left="6440" w:hanging="6440" w:hangingChars="2300"/>
        <w:textAlignment w:val="auto"/>
        <w:rPr>
          <w:rFonts w:hint="eastAsia" w:ascii="仿宋_GB2312" w:hAnsi="仿宋_GB2312" w:eastAsia="仿宋_GB2312" w:cs="仿宋_GB2312"/>
          <w:snapToGrid w:val="0"/>
          <w:color w:val="auto"/>
          <w:sz w:val="28"/>
          <w:szCs w:val="28"/>
          <w:lang w:eastAsia="zh-CN"/>
        </w:rPr>
      </w:pPr>
      <w:r>
        <w:rPr>
          <w:rFonts w:hint="eastAsia" w:ascii="仿宋_GB2312" w:hAnsi="仿宋_GB2312" w:eastAsia="仿宋_GB2312" w:cs="仿宋_GB2312"/>
          <w:snapToGrid w:val="0"/>
          <w:color w:val="auto"/>
          <w:sz w:val="28"/>
          <w:szCs w:val="28"/>
        </w:rPr>
        <w:t>甲方（盖章）：</w:t>
      </w:r>
      <w:r>
        <w:rPr>
          <w:rFonts w:hint="eastAsia" w:ascii="仿宋_GB2312" w:hAnsi="仿宋_GB2312" w:eastAsia="仿宋_GB2312" w:cs="仿宋_GB2312"/>
          <w:snapToGrid w:val="0"/>
          <w:color w:val="auto"/>
          <w:sz w:val="28"/>
          <w:szCs w:val="28"/>
          <w:lang w:eastAsia="zh-CN"/>
        </w:rPr>
        <w:t>雅安市人民医院</w:t>
      </w:r>
      <w:r>
        <w:rPr>
          <w:rFonts w:hint="eastAsia" w:ascii="仿宋_GB2312" w:hAnsi="仿宋_GB2312" w:eastAsia="仿宋_GB2312" w:cs="仿宋_GB2312"/>
          <w:snapToGrid w:val="0"/>
          <w:color w:val="auto"/>
          <w:sz w:val="28"/>
          <w:szCs w:val="28"/>
          <w:lang w:val="en-US" w:eastAsia="zh-CN"/>
        </w:rPr>
        <w:t xml:space="preserve">   </w:t>
      </w:r>
      <w:r>
        <w:rPr>
          <w:rFonts w:hint="eastAsia" w:ascii="仿宋_GB2312" w:hAnsi="仿宋_GB2312" w:eastAsia="仿宋_GB2312" w:cs="仿宋_GB2312"/>
          <w:snapToGrid w:val="0"/>
          <w:color w:val="auto"/>
          <w:sz w:val="28"/>
          <w:szCs w:val="28"/>
        </w:rPr>
        <w:t>乙方（盖章）：</w:t>
      </w:r>
    </w:p>
    <w:p w14:paraId="6ABA9EF5">
      <w:pPr>
        <w:keepNext w:val="0"/>
        <w:keepLines w:val="0"/>
        <w:pageBreakBefore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rPr>
        <w:t>签约日期：</w:t>
      </w:r>
      <w:r>
        <w:rPr>
          <w:rFonts w:hint="eastAsia" w:ascii="仿宋_GB2312" w:hAnsi="仿宋_GB2312" w:eastAsia="仿宋_GB2312" w:cs="仿宋_GB2312"/>
          <w:snapToGrid w:val="0"/>
          <w:color w:val="auto"/>
          <w:sz w:val="28"/>
          <w:szCs w:val="28"/>
          <w:lang w:val="en-US" w:eastAsia="zh-CN"/>
        </w:rPr>
        <w:t>2024</w:t>
      </w:r>
      <w:r>
        <w:rPr>
          <w:rFonts w:hint="eastAsia" w:ascii="仿宋_GB2312" w:hAnsi="仿宋_GB2312" w:eastAsia="仿宋_GB2312" w:cs="仿宋_GB2312"/>
          <w:snapToGrid w:val="0"/>
          <w:color w:val="auto"/>
          <w:sz w:val="28"/>
          <w:szCs w:val="28"/>
        </w:rPr>
        <w:t>年</w:t>
      </w:r>
      <w:r>
        <w:rPr>
          <w:rFonts w:hint="eastAsia" w:ascii="仿宋_GB2312" w:hAnsi="仿宋_GB2312" w:eastAsia="仿宋_GB2312" w:cs="仿宋_GB2312"/>
          <w:snapToGrid w:val="0"/>
          <w:color w:val="auto"/>
          <w:sz w:val="28"/>
          <w:szCs w:val="28"/>
          <w:lang w:val="en-US" w:eastAsia="zh-CN"/>
        </w:rPr>
        <w:t xml:space="preserve"> </w:t>
      </w:r>
      <w:r>
        <w:rPr>
          <w:rFonts w:hint="eastAsia" w:ascii="仿宋_GB2312" w:hAnsi="仿宋_GB2312" w:eastAsia="仿宋_GB2312" w:cs="仿宋_GB2312"/>
          <w:snapToGrid w:val="0"/>
          <w:color w:val="auto"/>
          <w:sz w:val="28"/>
          <w:szCs w:val="28"/>
        </w:rPr>
        <w:t>月</w:t>
      </w:r>
      <w:r>
        <w:rPr>
          <w:rFonts w:hint="eastAsia" w:ascii="仿宋_GB2312" w:hAnsi="仿宋_GB2312" w:eastAsia="仿宋_GB2312" w:cs="仿宋_GB2312"/>
          <w:snapToGrid w:val="0"/>
          <w:color w:val="auto"/>
          <w:sz w:val="28"/>
          <w:szCs w:val="28"/>
          <w:lang w:val="en-US" w:eastAsia="zh-CN"/>
        </w:rPr>
        <w:t xml:space="preserve">  </w:t>
      </w:r>
      <w:r>
        <w:rPr>
          <w:rFonts w:hint="eastAsia" w:ascii="仿宋_GB2312" w:hAnsi="仿宋_GB2312" w:eastAsia="仿宋_GB2312" w:cs="仿宋_GB2312"/>
          <w:snapToGrid w:val="0"/>
          <w:color w:val="auto"/>
          <w:sz w:val="28"/>
          <w:szCs w:val="28"/>
        </w:rPr>
        <w:t xml:space="preserve">日  </w:t>
      </w:r>
      <w:r>
        <w:rPr>
          <w:rFonts w:hint="eastAsia" w:ascii="仿宋_GB2312" w:hAnsi="仿宋_GB2312" w:eastAsia="仿宋_GB2312" w:cs="仿宋_GB2312"/>
          <w:snapToGrid w:val="0"/>
          <w:color w:val="auto"/>
          <w:sz w:val="28"/>
          <w:szCs w:val="28"/>
          <w:lang w:val="en-US" w:eastAsia="zh-CN"/>
        </w:rPr>
        <w:t xml:space="preserve">      </w:t>
      </w:r>
      <w:r>
        <w:rPr>
          <w:rFonts w:hint="eastAsia" w:ascii="仿宋_GB2312" w:hAnsi="仿宋_GB2312" w:eastAsia="仿宋_GB2312" w:cs="仿宋_GB2312"/>
          <w:snapToGrid w:val="0"/>
          <w:color w:val="auto"/>
          <w:sz w:val="28"/>
          <w:szCs w:val="28"/>
        </w:rPr>
        <w:t>签约日期：</w:t>
      </w:r>
      <w:r>
        <w:rPr>
          <w:rFonts w:hint="eastAsia" w:ascii="仿宋_GB2312" w:hAnsi="仿宋_GB2312" w:eastAsia="仿宋_GB2312" w:cs="仿宋_GB2312"/>
          <w:snapToGrid w:val="0"/>
          <w:color w:val="auto"/>
          <w:sz w:val="28"/>
          <w:szCs w:val="28"/>
          <w:lang w:val="en-US" w:eastAsia="zh-CN"/>
        </w:rPr>
        <w:t xml:space="preserve">2024  </w:t>
      </w:r>
      <w:r>
        <w:rPr>
          <w:rFonts w:hint="eastAsia" w:ascii="仿宋_GB2312" w:hAnsi="仿宋_GB2312" w:eastAsia="仿宋_GB2312" w:cs="仿宋_GB2312"/>
          <w:snapToGrid w:val="0"/>
          <w:color w:val="auto"/>
          <w:sz w:val="28"/>
          <w:szCs w:val="28"/>
        </w:rPr>
        <w:t>年</w:t>
      </w:r>
      <w:r>
        <w:rPr>
          <w:rFonts w:hint="eastAsia" w:ascii="仿宋_GB2312" w:hAnsi="仿宋_GB2312" w:eastAsia="仿宋_GB2312" w:cs="仿宋_GB2312"/>
          <w:snapToGrid w:val="0"/>
          <w:color w:val="auto"/>
          <w:sz w:val="28"/>
          <w:szCs w:val="28"/>
          <w:lang w:val="en-US" w:eastAsia="zh-CN"/>
        </w:rPr>
        <w:t xml:space="preserve">  </w:t>
      </w:r>
      <w:r>
        <w:rPr>
          <w:rFonts w:hint="eastAsia" w:ascii="仿宋_GB2312" w:hAnsi="仿宋_GB2312" w:eastAsia="仿宋_GB2312" w:cs="仿宋_GB2312"/>
          <w:snapToGrid w:val="0"/>
          <w:color w:val="auto"/>
          <w:sz w:val="28"/>
          <w:szCs w:val="28"/>
        </w:rPr>
        <w:t>月</w:t>
      </w:r>
      <w:r>
        <w:rPr>
          <w:rFonts w:hint="eastAsia" w:ascii="仿宋_GB2312" w:hAnsi="仿宋_GB2312" w:eastAsia="仿宋_GB2312" w:cs="仿宋_GB2312"/>
          <w:snapToGrid w:val="0"/>
          <w:color w:val="auto"/>
          <w:sz w:val="28"/>
          <w:szCs w:val="28"/>
          <w:lang w:val="en-US" w:eastAsia="zh-CN"/>
        </w:rPr>
        <w:t xml:space="preserve">  </w:t>
      </w:r>
      <w:r>
        <w:rPr>
          <w:rFonts w:hint="eastAsia" w:ascii="仿宋_GB2312" w:hAnsi="仿宋_GB2312" w:eastAsia="仿宋_GB2312" w:cs="仿宋_GB2312"/>
          <w:snapToGrid w:val="0"/>
          <w:color w:val="auto"/>
          <w:sz w:val="28"/>
          <w:szCs w:val="28"/>
        </w:rPr>
        <w:t>日</w:t>
      </w:r>
    </w:p>
    <w:p w14:paraId="15321660">
      <w:pPr>
        <w:keepNext w:val="0"/>
        <w:keepLines w:val="0"/>
        <w:pageBreakBefore w:val="0"/>
        <w:kinsoku/>
        <w:wordWrap/>
        <w:overflowPunct/>
        <w:topLinePunct w:val="0"/>
        <w:autoSpaceDE/>
        <w:autoSpaceDN/>
        <w:bidi w:val="0"/>
        <w:adjustRightInd/>
        <w:snapToGrid w:val="0"/>
        <w:spacing w:line="440" w:lineRule="exact"/>
        <w:jc w:val="left"/>
        <w:textAlignment w:val="auto"/>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法定代表人/主要负责人：          法定代表人：</w:t>
      </w:r>
    </w:p>
    <w:p w14:paraId="35DA67D7">
      <w:pPr>
        <w:keepNext w:val="0"/>
        <w:keepLines w:val="0"/>
        <w:pageBreakBefore w:val="0"/>
        <w:kinsoku/>
        <w:wordWrap/>
        <w:overflowPunct/>
        <w:topLinePunct w:val="0"/>
        <w:autoSpaceDE/>
        <w:autoSpaceDN/>
        <w:bidi w:val="0"/>
        <w:adjustRightInd/>
        <w:snapToGrid w:val="0"/>
        <w:spacing w:line="440" w:lineRule="exact"/>
        <w:ind w:firstLine="1960" w:firstLineChars="700"/>
        <w:jc w:val="left"/>
        <w:textAlignment w:val="auto"/>
        <w:rPr>
          <w:rFonts w:hint="eastAsia" w:ascii="仿宋_GB2312" w:hAnsi="仿宋_GB2312" w:eastAsia="仿宋_GB2312" w:cs="仿宋_GB2312"/>
          <w:snapToGrid w:val="0"/>
          <w:color w:val="auto"/>
          <w:sz w:val="28"/>
          <w:szCs w:val="28"/>
        </w:rPr>
      </w:pPr>
      <w:r>
        <w:rPr>
          <w:rFonts w:hint="eastAsia" w:ascii="仿宋_GB2312" w:hAnsi="仿宋_GB2312" w:eastAsia="仿宋_GB2312" w:cs="仿宋_GB2312"/>
          <w:snapToGrid w:val="0"/>
          <w:color w:val="auto"/>
          <w:sz w:val="28"/>
          <w:szCs w:val="28"/>
          <w:lang w:val="en-US" w:eastAsia="zh-CN"/>
        </w:rPr>
        <w:t xml:space="preserve">                 （签字和盖章）</w:t>
      </w:r>
    </w:p>
    <w:p w14:paraId="69547C69">
      <w:pPr>
        <w:keepNext w:val="0"/>
        <w:keepLines w:val="0"/>
        <w:pageBreakBefore w:val="0"/>
        <w:kinsoku/>
        <w:wordWrap/>
        <w:overflowPunct/>
        <w:topLinePunct w:val="0"/>
        <w:autoSpaceDE/>
        <w:autoSpaceDN/>
        <w:bidi w:val="0"/>
        <w:adjustRightInd/>
        <w:snapToGrid w:val="0"/>
        <w:spacing w:line="440" w:lineRule="exact"/>
        <w:ind w:left="5100" w:hanging="4760" w:hangingChars="1700"/>
        <w:textAlignment w:val="auto"/>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eastAsia="zh-CN"/>
        </w:rPr>
        <w:t>地址：雅安市雨城区安康路</w:t>
      </w:r>
      <w:r>
        <w:rPr>
          <w:rFonts w:hint="eastAsia" w:ascii="仿宋_GB2312" w:hAnsi="仿宋_GB2312" w:eastAsia="仿宋_GB2312" w:cs="仿宋_GB2312"/>
          <w:snapToGrid w:val="0"/>
          <w:color w:val="auto"/>
          <w:sz w:val="28"/>
          <w:szCs w:val="28"/>
          <w:lang w:val="en-US" w:eastAsia="zh-CN"/>
        </w:rPr>
        <w:t>9号      地址：</w:t>
      </w:r>
    </w:p>
    <w:p w14:paraId="2A174EFC">
      <w:pPr>
        <w:keepNext w:val="0"/>
        <w:keepLines w:val="0"/>
        <w:pageBreakBefore w:val="0"/>
        <w:kinsoku/>
        <w:wordWrap/>
        <w:overflowPunct/>
        <w:topLinePunct w:val="0"/>
        <w:autoSpaceDE/>
        <w:autoSpaceDN/>
        <w:bidi w:val="0"/>
        <w:adjustRightInd/>
        <w:snapToGrid w:val="0"/>
        <w:spacing w:line="440" w:lineRule="exact"/>
        <w:ind w:left="5100" w:hanging="4760" w:hangingChars="1700"/>
        <w:textAlignment w:val="auto"/>
        <w:rPr>
          <w:rFonts w:hint="default" w:ascii="仿宋_GB2312" w:hAnsi="仿宋_GB2312" w:eastAsia="仿宋_GB2312" w:cs="仿宋_GB2312"/>
          <w:snapToGrid w:val="0"/>
          <w:color w:val="auto"/>
          <w:sz w:val="28"/>
          <w:szCs w:val="28"/>
          <w:lang w:val="en-US" w:eastAsia="zh-CN"/>
        </w:rPr>
      </w:pPr>
    </w:p>
    <w:p w14:paraId="6A66B004">
      <w:pPr>
        <w:keepNext w:val="0"/>
        <w:keepLines w:val="0"/>
        <w:pageBreakBefore w:val="0"/>
        <w:kinsoku/>
        <w:wordWrap/>
        <w:overflowPunct/>
        <w:topLinePunct w:val="0"/>
        <w:autoSpaceDE/>
        <w:autoSpaceDN/>
        <w:bidi w:val="0"/>
        <w:adjustRightInd/>
        <w:snapToGrid w:val="0"/>
        <w:spacing w:line="440" w:lineRule="exact"/>
        <w:textAlignment w:val="auto"/>
        <w:rPr>
          <w:rFonts w:hint="default"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电话：0835-2862736                电话：</w:t>
      </w:r>
    </w:p>
    <w:p w14:paraId="43DE8018">
      <w:pPr>
        <w:keepNext w:val="0"/>
        <w:keepLines w:val="0"/>
        <w:pageBreakBefore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经办人：</w:t>
      </w:r>
    </w:p>
    <w:p w14:paraId="009F47E4">
      <w:pPr>
        <w:keepNext w:val="0"/>
        <w:keepLines w:val="0"/>
        <w:pageBreakBefore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经办科室负责人：</w:t>
      </w:r>
    </w:p>
    <w:p w14:paraId="7F25BAE5">
      <w:pPr>
        <w:keepNext w:val="0"/>
        <w:keepLines w:val="0"/>
        <w:pageBreakBefore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分管领导：</w:t>
      </w:r>
    </w:p>
    <w:p w14:paraId="0184F588">
      <w:pPr>
        <w:keepNext w:val="0"/>
        <w:keepLines w:val="0"/>
        <w:pageBreakBefore w:val="0"/>
        <w:kinsoku/>
        <w:wordWrap/>
        <w:overflowPunct/>
        <w:topLinePunct w:val="0"/>
        <w:autoSpaceDE/>
        <w:autoSpaceDN/>
        <w:bidi w:val="0"/>
        <w:adjustRightInd/>
        <w:snapToGrid w:val="0"/>
        <w:spacing w:line="440" w:lineRule="exact"/>
        <w:ind w:left="5880" w:hanging="5880" w:hangingChars="2100"/>
        <w:textAlignment w:val="auto"/>
        <w:rPr>
          <w:rFonts w:hint="default"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eastAsia="zh-CN"/>
        </w:rPr>
        <w:t>开户行：工商银行雅安分行</w:t>
      </w:r>
      <w:r>
        <w:rPr>
          <w:rFonts w:hint="eastAsia" w:ascii="仿宋_GB2312" w:hAnsi="仿宋_GB2312" w:eastAsia="仿宋_GB2312" w:cs="仿宋_GB2312"/>
          <w:snapToGrid w:val="0"/>
          <w:color w:val="auto"/>
          <w:sz w:val="28"/>
          <w:szCs w:val="28"/>
          <w:lang w:val="en-US" w:eastAsia="zh-CN"/>
        </w:rPr>
        <w:t xml:space="preserve">          开户行：</w:t>
      </w:r>
    </w:p>
    <w:p w14:paraId="782763CC">
      <w:pPr>
        <w:keepNext w:val="0"/>
        <w:keepLines w:val="0"/>
        <w:pageBreakBefore w:val="0"/>
        <w:kinsoku/>
        <w:wordWrap/>
        <w:overflowPunct/>
        <w:topLinePunct w:val="0"/>
        <w:autoSpaceDE/>
        <w:autoSpaceDN/>
        <w:bidi w:val="0"/>
        <w:adjustRightInd/>
        <w:snapToGrid w:val="0"/>
        <w:spacing w:line="440" w:lineRule="exact"/>
        <w:textAlignment w:val="auto"/>
        <w:rPr>
          <w:rFonts w:hint="default"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账号：2319614409026404621         账户：</w:t>
      </w:r>
    </w:p>
    <w:p w14:paraId="445BC5F9">
      <w:pPr>
        <w:keepNext w:val="0"/>
        <w:keepLines w:val="0"/>
        <w:pageBreakBefore w:val="0"/>
        <w:kinsoku/>
        <w:wordWrap/>
        <w:overflowPunct/>
        <w:topLinePunct w:val="0"/>
        <w:autoSpaceDE/>
        <w:autoSpaceDN/>
        <w:bidi w:val="0"/>
        <w:adjustRightInd/>
        <w:snapToGrid w:val="0"/>
        <w:spacing w:line="440" w:lineRule="exact"/>
        <w:textAlignment w:val="auto"/>
        <w:rPr>
          <w:rFonts w:hint="default" w:ascii="仿宋_GB2312" w:hAnsi="仿宋_GB2312" w:eastAsia="仿宋_GB2312" w:cs="仿宋_GB2312"/>
          <w:snapToGrid w:val="0"/>
          <w:color w:val="auto"/>
          <w:sz w:val="28"/>
          <w:szCs w:val="28"/>
          <w:lang w:val="en-US" w:eastAsia="zh-CN"/>
        </w:rPr>
      </w:pPr>
      <w:r>
        <w:rPr>
          <w:rFonts w:hint="eastAsia" w:ascii="仿宋_GB2312" w:hAnsi="仿宋_GB2312" w:eastAsia="仿宋_GB2312" w:cs="仿宋_GB2312"/>
          <w:snapToGrid w:val="0"/>
          <w:color w:val="auto"/>
          <w:sz w:val="28"/>
          <w:szCs w:val="28"/>
          <w:lang w:val="en-US" w:eastAsia="zh-CN"/>
        </w:rPr>
        <w:t>税务代码：12511600452534150R      税务代码：</w:t>
      </w:r>
    </w:p>
    <w:p w14:paraId="10A659E1">
      <w:pPr>
        <w:pStyle w:val="3"/>
        <w:rPr>
          <w:rFonts w:hint="eastAsia"/>
          <w:color w:val="auto"/>
          <w:lang w:val="en-US" w:eastAsia="zh-CN"/>
        </w:rPr>
      </w:pPr>
    </w:p>
    <w:p w14:paraId="6097B27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6A788C1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3DE7684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376D85D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r>
        <w:rPr>
          <w:rFonts w:hint="eastAsia" w:ascii="仿宋_GB2312" w:hAnsi="仿宋" w:eastAsia="仿宋_GB2312"/>
          <w:snapToGrid w:val="0"/>
          <w:color w:val="auto"/>
          <w:sz w:val="28"/>
          <w:szCs w:val="28"/>
          <w:highlight w:val="none"/>
          <w:lang w:val="en-US" w:eastAsia="zh-CN"/>
        </w:rPr>
        <w:t xml:space="preserve">             </w:t>
      </w:r>
    </w:p>
    <w:p w14:paraId="1665F803">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519D3870">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7D618101">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1B47A4D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4A979912">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2AC27AE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7F2C30AA">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135114C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012AF5EF">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1498C1DC">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2679C8C7">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hAnsi="仿宋" w:eastAsia="仿宋_GB2312"/>
          <w:snapToGrid w:val="0"/>
          <w:color w:val="auto"/>
          <w:sz w:val="28"/>
          <w:szCs w:val="28"/>
          <w:highlight w:val="none"/>
          <w:lang w:val="en-US" w:eastAsia="zh-CN"/>
        </w:rPr>
      </w:pPr>
      <w:r>
        <w:rPr>
          <w:rFonts w:hint="eastAsia" w:ascii="仿宋_GB2312" w:hAnsi="仿宋" w:eastAsia="仿宋_GB2312"/>
          <w:snapToGrid w:val="0"/>
          <w:color w:val="auto"/>
          <w:sz w:val="28"/>
          <w:szCs w:val="28"/>
          <w:highlight w:val="none"/>
          <w:lang w:val="en-US" w:eastAsia="zh-CN"/>
        </w:rPr>
        <w:t xml:space="preserve">附件1：                  </w:t>
      </w:r>
    </w:p>
    <w:p w14:paraId="0C9D6F75">
      <w:pPr>
        <w:keepNext w:val="0"/>
        <w:keepLines w:val="0"/>
        <w:pageBreakBefore w:val="0"/>
        <w:kinsoku/>
        <w:wordWrap/>
        <w:overflowPunct/>
        <w:topLinePunct w:val="0"/>
        <w:autoSpaceDE/>
        <w:autoSpaceDN/>
        <w:bidi w:val="0"/>
        <w:adjustRightInd/>
        <w:snapToGrid w:val="0"/>
        <w:spacing w:line="400" w:lineRule="exact"/>
        <w:ind w:firstLine="3920" w:firstLineChars="1400"/>
        <w:textAlignment w:val="auto"/>
        <w:rPr>
          <w:rFonts w:hint="eastAsia" w:ascii="仿宋_GB2312" w:hAnsi="仿宋" w:eastAsia="仿宋_GB2312"/>
          <w:snapToGrid w:val="0"/>
          <w:color w:val="auto"/>
          <w:sz w:val="28"/>
          <w:szCs w:val="28"/>
          <w:highlight w:val="none"/>
          <w:lang w:val="en-US" w:eastAsia="zh-CN"/>
        </w:rPr>
      </w:pPr>
      <w:r>
        <w:rPr>
          <w:rFonts w:hint="eastAsia" w:ascii="仿宋_GB2312" w:hAnsi="仿宋" w:eastAsia="仿宋_GB2312"/>
          <w:snapToGrid w:val="0"/>
          <w:color w:val="auto"/>
          <w:sz w:val="28"/>
          <w:szCs w:val="28"/>
          <w:highlight w:val="none"/>
          <w:lang w:val="en-US" w:eastAsia="zh-CN"/>
        </w:rPr>
        <w:t>《产品信息表》</w:t>
      </w:r>
    </w:p>
    <w:p w14:paraId="11576BBF">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61D481F">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1471D6F9">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0AF3B86A">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4BA236AF">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136FA71">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9176E4E">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9FD8313">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53567050">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05FC0504">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79958D28">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5807504C">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2D18448F">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63EA6A8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687F672B">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581E1BF">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6E6DD8DB">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F414766">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697CED7E">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9E291AF">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50F124A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59FF65AA">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654E72CE">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5C278638">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4C2F021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121FE370">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00DC6365">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75F5C8DA">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03480529">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043266E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3DC948B7">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7520F549">
      <w:pPr>
        <w:keepNext w:val="0"/>
        <w:keepLines w:val="0"/>
        <w:pageBreakBefore w:val="0"/>
        <w:kinsoku/>
        <w:wordWrap/>
        <w:overflowPunct/>
        <w:topLinePunct w:val="0"/>
        <w:autoSpaceDE/>
        <w:autoSpaceDN/>
        <w:bidi w:val="0"/>
        <w:adjustRightInd/>
        <w:snapToGrid w:val="0"/>
        <w:spacing w:line="400" w:lineRule="exact"/>
        <w:ind w:firstLine="0" w:firstLineChars="0"/>
        <w:textAlignment w:val="auto"/>
        <w:rPr>
          <w:rFonts w:hint="eastAsia" w:ascii="仿宋_GB2312" w:hAnsi="仿宋" w:eastAsia="仿宋_GB2312"/>
          <w:snapToGrid w:val="0"/>
          <w:color w:val="auto"/>
          <w:sz w:val="28"/>
          <w:szCs w:val="28"/>
          <w:highlight w:val="none"/>
          <w:lang w:val="en-US" w:eastAsia="zh-CN"/>
        </w:rPr>
      </w:pPr>
    </w:p>
    <w:p w14:paraId="5DE3765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r>
        <w:rPr>
          <w:rFonts w:hint="eastAsia" w:ascii="仿宋" w:hAnsi="仿宋" w:eastAsia="仿宋" w:cs="仿宋"/>
          <w:b w:val="0"/>
          <w:bCs w:val="0"/>
          <w:color w:val="auto"/>
          <w:kern w:val="18"/>
          <w:sz w:val="32"/>
          <w:szCs w:val="32"/>
        </w:rPr>
        <w:t>附件</w:t>
      </w:r>
      <w:r>
        <w:rPr>
          <w:rFonts w:hint="eastAsia" w:ascii="仿宋" w:hAnsi="仿宋" w:eastAsia="仿宋" w:cs="仿宋"/>
          <w:b w:val="0"/>
          <w:bCs w:val="0"/>
          <w:color w:val="auto"/>
          <w:kern w:val="18"/>
          <w:sz w:val="32"/>
          <w:szCs w:val="32"/>
          <w:lang w:val="en-US" w:eastAsia="zh-CN"/>
        </w:rPr>
        <w:t>2</w:t>
      </w:r>
      <w:r>
        <w:rPr>
          <w:rFonts w:hint="eastAsia" w:ascii="仿宋" w:hAnsi="仿宋" w:eastAsia="仿宋" w:cs="仿宋"/>
          <w:b w:val="0"/>
          <w:bCs w:val="0"/>
          <w:color w:val="auto"/>
          <w:kern w:val="18"/>
          <w:sz w:val="32"/>
          <w:szCs w:val="32"/>
        </w:rPr>
        <w:t>：</w:t>
      </w:r>
    </w:p>
    <w:p w14:paraId="23CBB32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kern w:val="18"/>
          <w:sz w:val="44"/>
          <w:szCs w:val="44"/>
        </w:rPr>
      </w:pPr>
      <w:r>
        <w:rPr>
          <w:rFonts w:hint="eastAsia" w:ascii="黑体" w:hAnsi="黑体" w:eastAsia="黑体" w:cs="黑体"/>
          <w:b w:val="0"/>
          <w:bCs w:val="0"/>
          <w:color w:val="auto"/>
          <w:kern w:val="18"/>
          <w:sz w:val="32"/>
          <w:szCs w:val="32"/>
        </w:rPr>
        <w:t>医疗器械廉洁购销协议</w:t>
      </w:r>
    </w:p>
    <w:p w14:paraId="1A3378B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auto"/>
          <w:sz w:val="32"/>
          <w:szCs w:val="32"/>
        </w:rPr>
      </w:pPr>
    </w:p>
    <w:p w14:paraId="630C8FE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b w:val="0"/>
          <w:bCs w:val="0"/>
          <w:color w:val="auto"/>
          <w:sz w:val="28"/>
          <w:szCs w:val="28"/>
          <w:lang w:eastAsia="zh-CN"/>
        </w:rPr>
      </w:pPr>
      <w:r>
        <w:rPr>
          <w:rFonts w:hint="eastAsia" w:ascii="仿宋_GB2312" w:hAnsi="仿宋_GB2312" w:eastAsia="仿宋_GB2312" w:cs="仿宋_GB2312"/>
          <w:b w:val="0"/>
          <w:bCs w:val="0"/>
          <w:color w:val="auto"/>
          <w:sz w:val="28"/>
          <w:szCs w:val="28"/>
        </w:rPr>
        <w:t>甲方（</w:t>
      </w:r>
      <w:r>
        <w:rPr>
          <w:rFonts w:hint="eastAsia" w:ascii="仿宋_GB2312" w:hAnsi="仿宋_GB2312" w:eastAsia="仿宋_GB2312" w:cs="仿宋_GB2312"/>
          <w:b w:val="0"/>
          <w:bCs w:val="0"/>
          <w:color w:val="auto"/>
          <w:sz w:val="28"/>
          <w:szCs w:val="28"/>
          <w:lang w:val="en-US" w:eastAsia="zh-CN"/>
        </w:rPr>
        <w:t>采购人</w:t>
      </w:r>
      <w:r>
        <w:rPr>
          <w:rFonts w:hint="eastAsia" w:ascii="仿宋_GB2312" w:hAnsi="仿宋_GB2312" w:eastAsia="仿宋_GB2312" w:cs="仿宋_GB2312"/>
          <w:b w:val="0"/>
          <w:bCs w:val="0"/>
          <w:color w:val="auto"/>
          <w:sz w:val="28"/>
          <w:szCs w:val="28"/>
        </w:rPr>
        <w:t>）：</w:t>
      </w:r>
      <w:r>
        <w:rPr>
          <w:rFonts w:hint="eastAsia" w:ascii="仿宋_GB2312" w:hAnsi="仿宋_GB2312" w:eastAsia="仿宋_GB2312" w:cs="仿宋_GB2312"/>
          <w:b w:val="0"/>
          <w:bCs w:val="0"/>
          <w:color w:val="auto"/>
          <w:sz w:val="28"/>
          <w:szCs w:val="28"/>
          <w:lang w:eastAsia="zh-CN"/>
        </w:rPr>
        <w:t>雅安市人民医院</w:t>
      </w:r>
    </w:p>
    <w:p w14:paraId="6C4EECE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rPr>
        <w:t>乙方（生产企业</w:t>
      </w:r>
      <w:r>
        <w:rPr>
          <w:rFonts w:hint="eastAsia" w:ascii="仿宋_GB2312" w:hAnsi="仿宋_GB2312" w:eastAsia="仿宋_GB2312" w:cs="仿宋_GB2312"/>
          <w:b w:val="0"/>
          <w:bCs w:val="0"/>
          <w:color w:val="auto"/>
          <w:sz w:val="28"/>
          <w:szCs w:val="28"/>
          <w:lang w:eastAsia="zh-CN"/>
        </w:rPr>
        <w:t>或供应商</w:t>
      </w:r>
      <w:r>
        <w:rPr>
          <w:rFonts w:hint="eastAsia" w:ascii="仿宋_GB2312" w:hAnsi="仿宋_GB2312" w:eastAsia="仿宋_GB2312" w:cs="仿宋_GB2312"/>
          <w:b w:val="0"/>
          <w:bCs w:val="0"/>
          <w:color w:val="auto"/>
          <w:sz w:val="28"/>
          <w:szCs w:val="28"/>
        </w:rPr>
        <w:t>）：</w:t>
      </w:r>
    </w:p>
    <w:p w14:paraId="2DBB097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为进一步加强医疗卫生行风建设，规范医疗卫生机构医</w:t>
      </w:r>
      <w:r>
        <w:rPr>
          <w:rFonts w:hint="eastAsia" w:ascii="仿宋_GB2312" w:hAnsi="仿宋_GB2312" w:eastAsia="仿宋_GB2312" w:cs="仿宋_GB2312"/>
          <w:b w:val="0"/>
          <w:bCs w:val="0"/>
          <w:color w:val="auto"/>
          <w:sz w:val="28"/>
          <w:szCs w:val="28"/>
          <w:lang w:eastAsia="zh-CN"/>
        </w:rPr>
        <w:t>疗器械</w:t>
      </w:r>
      <w:r>
        <w:rPr>
          <w:rFonts w:hint="eastAsia" w:ascii="仿宋_GB2312" w:hAnsi="仿宋_GB2312" w:eastAsia="仿宋_GB2312" w:cs="仿宋_GB2312"/>
          <w:b w:val="0"/>
          <w:bCs w:val="0"/>
          <w:color w:val="auto"/>
          <w:sz w:val="28"/>
          <w:szCs w:val="28"/>
        </w:rPr>
        <w:t>购销行为，有效防范商业贿赂行为，营造公平交易、诚实守信的购销环境，经甲、乙双方协商，达成如下协议：</w:t>
      </w:r>
    </w:p>
    <w:p w14:paraId="19FBF11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rPr>
        <w:t>一、</w:t>
      </w:r>
      <w:r>
        <w:rPr>
          <w:rFonts w:hint="eastAsia" w:ascii="仿宋_GB2312" w:hAnsi="仿宋_GB2312" w:eastAsia="仿宋_GB2312" w:cs="仿宋_GB2312"/>
          <w:b w:val="0"/>
          <w:bCs w:val="0"/>
          <w:color w:val="auto"/>
          <w:sz w:val="28"/>
          <w:szCs w:val="28"/>
          <w:highlight w:val="none"/>
        </w:rPr>
        <w:t>甲乙双方按照购销合同约定购销</w:t>
      </w:r>
      <w:r>
        <w:rPr>
          <w:rFonts w:hint="eastAsia" w:ascii="仿宋_GB2312" w:hAnsi="仿宋_GB2312" w:eastAsia="仿宋_GB2312" w:cs="仿宋_GB2312"/>
          <w:b w:val="0"/>
          <w:bCs w:val="0"/>
          <w:color w:val="auto"/>
          <w:sz w:val="28"/>
          <w:szCs w:val="28"/>
          <w:highlight w:val="none"/>
          <w:lang w:eastAsia="zh-CN"/>
        </w:rPr>
        <w:t>医疗器械，</w:t>
      </w:r>
      <w:r>
        <w:rPr>
          <w:rFonts w:hint="eastAsia" w:ascii="仿宋_GB2312" w:hAnsi="仿宋_GB2312" w:eastAsia="仿宋_GB2312" w:cs="仿宋_GB2312"/>
          <w:b w:val="0"/>
          <w:bCs w:val="0"/>
          <w:color w:val="auto"/>
          <w:sz w:val="28"/>
          <w:szCs w:val="28"/>
          <w:lang w:eastAsia="zh-CN"/>
        </w:rPr>
        <w:t>双</w:t>
      </w:r>
      <w:r>
        <w:rPr>
          <w:rFonts w:hint="eastAsia" w:ascii="仿宋_GB2312" w:hAnsi="仿宋_GB2312" w:eastAsia="仿宋_GB2312" w:cs="仿宋_GB2312"/>
          <w:b w:val="0"/>
          <w:bCs w:val="0"/>
          <w:color w:val="auto"/>
          <w:sz w:val="28"/>
          <w:szCs w:val="28"/>
        </w:rPr>
        <w:t>方的</w:t>
      </w:r>
      <w:r>
        <w:rPr>
          <w:rFonts w:hint="eastAsia" w:ascii="仿宋_GB2312" w:hAnsi="仿宋_GB2312" w:eastAsia="仿宋_GB2312" w:cs="仿宋_GB2312"/>
          <w:b w:val="0"/>
          <w:bCs w:val="0"/>
          <w:color w:val="auto"/>
          <w:sz w:val="28"/>
          <w:szCs w:val="28"/>
          <w:lang w:eastAsia="zh-CN"/>
        </w:rPr>
        <w:t>购</w:t>
      </w:r>
      <w:r>
        <w:rPr>
          <w:rFonts w:hint="eastAsia" w:ascii="仿宋_GB2312" w:hAnsi="仿宋_GB2312" w:eastAsia="仿宋_GB2312" w:cs="仿宋_GB2312"/>
          <w:b w:val="0"/>
          <w:bCs w:val="0"/>
          <w:color w:val="auto"/>
          <w:sz w:val="28"/>
          <w:szCs w:val="28"/>
        </w:rPr>
        <w:t>销行为，必须符合国家的相关法律和法规，不得有违法乱纪行为。</w:t>
      </w:r>
    </w:p>
    <w:p w14:paraId="50F47E6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二、甲方应当严格执行医</w:t>
      </w:r>
      <w:r>
        <w:rPr>
          <w:rFonts w:hint="eastAsia" w:ascii="仿宋_GB2312" w:hAnsi="仿宋_GB2312" w:eastAsia="仿宋_GB2312" w:cs="仿宋_GB2312"/>
          <w:b w:val="0"/>
          <w:bCs w:val="0"/>
          <w:color w:val="auto"/>
          <w:sz w:val="28"/>
          <w:szCs w:val="28"/>
          <w:lang w:eastAsia="zh-CN"/>
        </w:rPr>
        <w:t>疗器械</w:t>
      </w:r>
      <w:r>
        <w:rPr>
          <w:rFonts w:hint="eastAsia" w:ascii="仿宋_GB2312" w:hAnsi="仿宋_GB2312" w:eastAsia="仿宋_GB2312" w:cs="仿宋_GB2312"/>
          <w:b w:val="0"/>
          <w:bCs w:val="0"/>
          <w:color w:val="auto"/>
          <w:sz w:val="28"/>
          <w:szCs w:val="28"/>
        </w:rPr>
        <w:t>购销合同验收、入库制度，对采购产品及发票进行查验，不得违反有关规定合同外采购、违价采购或从非规定渠道采购。</w:t>
      </w:r>
    </w:p>
    <w:p w14:paraId="56C6392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eastAsia="zh-CN"/>
        </w:rPr>
        <w:t>三、</w:t>
      </w:r>
      <w:r>
        <w:rPr>
          <w:rFonts w:hint="eastAsia" w:ascii="仿宋_GB2312" w:hAnsi="仿宋_GB2312" w:eastAsia="仿宋_GB2312" w:cs="仿宋_GB2312"/>
          <w:b w:val="0"/>
          <w:bCs w:val="0"/>
          <w:color w:val="auto"/>
          <w:sz w:val="28"/>
          <w:szCs w:val="28"/>
          <w:highlight w:val="none"/>
        </w:rPr>
        <w:t>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有关纪检监察部门反映情况。</w:t>
      </w:r>
    </w:p>
    <w:p w14:paraId="1C7017D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eastAsia="zh-CN"/>
        </w:rPr>
        <w:t>四、</w:t>
      </w:r>
      <w:r>
        <w:rPr>
          <w:rFonts w:hint="eastAsia" w:ascii="仿宋_GB2312" w:hAnsi="仿宋_GB2312" w:eastAsia="仿宋_GB2312" w:cs="仿宋_GB2312"/>
          <w:b w:val="0"/>
          <w:bCs w:val="0"/>
          <w:color w:val="auto"/>
          <w:sz w:val="28"/>
          <w:szCs w:val="28"/>
          <w:highlight w:val="none"/>
        </w:rPr>
        <w:t>甲方工作人员严禁利用任何途径和方式，为乙方统计医师个人及临床科室有关医</w:t>
      </w:r>
      <w:r>
        <w:rPr>
          <w:rFonts w:hint="eastAsia" w:ascii="仿宋_GB2312" w:hAnsi="仿宋_GB2312" w:eastAsia="仿宋_GB2312" w:cs="仿宋_GB2312"/>
          <w:b w:val="0"/>
          <w:bCs w:val="0"/>
          <w:color w:val="auto"/>
          <w:sz w:val="28"/>
          <w:szCs w:val="28"/>
          <w:highlight w:val="none"/>
          <w:lang w:eastAsia="zh-CN"/>
        </w:rPr>
        <w:t>疗器械</w:t>
      </w:r>
      <w:r>
        <w:rPr>
          <w:rFonts w:hint="eastAsia" w:ascii="仿宋_GB2312" w:hAnsi="仿宋_GB2312" w:eastAsia="仿宋_GB2312" w:cs="仿宋_GB2312"/>
          <w:b w:val="0"/>
          <w:bCs w:val="0"/>
          <w:color w:val="auto"/>
          <w:sz w:val="28"/>
          <w:szCs w:val="28"/>
          <w:highlight w:val="none"/>
        </w:rPr>
        <w:t>用量信息，或为乙方统计提供便利。</w:t>
      </w:r>
    </w:p>
    <w:p w14:paraId="1DA3C82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lang w:eastAsia="zh-CN"/>
        </w:rPr>
        <w:t>五、</w:t>
      </w:r>
      <w:r>
        <w:rPr>
          <w:rFonts w:hint="eastAsia" w:ascii="仿宋_GB2312" w:hAnsi="仿宋_GB2312" w:eastAsia="仿宋_GB2312" w:cs="仿宋_GB2312"/>
          <w:b w:val="0"/>
          <w:bCs w:val="0"/>
          <w:color w:val="auto"/>
          <w:sz w:val="28"/>
          <w:szCs w:val="28"/>
        </w:rPr>
        <w:t>乙方严把供应质量关，确保所供应的</w:t>
      </w:r>
      <w:r>
        <w:rPr>
          <w:rFonts w:hint="eastAsia" w:ascii="仿宋_GB2312" w:hAnsi="仿宋_GB2312" w:eastAsia="仿宋_GB2312" w:cs="仿宋_GB2312"/>
          <w:b w:val="0"/>
          <w:bCs w:val="0"/>
          <w:color w:val="auto"/>
          <w:sz w:val="28"/>
          <w:szCs w:val="28"/>
          <w:lang w:eastAsia="zh-CN"/>
        </w:rPr>
        <w:t>医疗</w:t>
      </w:r>
      <w:r>
        <w:rPr>
          <w:rFonts w:hint="eastAsia" w:ascii="仿宋_GB2312" w:hAnsi="仿宋_GB2312" w:eastAsia="仿宋_GB2312" w:cs="仿宋_GB2312"/>
          <w:b w:val="0"/>
          <w:bCs w:val="0"/>
          <w:color w:val="auto"/>
          <w:sz w:val="28"/>
          <w:szCs w:val="28"/>
        </w:rPr>
        <w:t>器械质量，按购</w:t>
      </w:r>
      <w:r>
        <w:rPr>
          <w:rFonts w:hint="eastAsia" w:ascii="仿宋_GB2312" w:hAnsi="仿宋_GB2312" w:eastAsia="仿宋_GB2312" w:cs="仿宋_GB2312"/>
          <w:b w:val="0"/>
          <w:bCs w:val="0"/>
          <w:color w:val="auto"/>
          <w:sz w:val="28"/>
          <w:szCs w:val="28"/>
          <w:lang w:eastAsia="zh-CN"/>
        </w:rPr>
        <w:t>销</w:t>
      </w:r>
      <w:r>
        <w:rPr>
          <w:rFonts w:hint="eastAsia" w:ascii="仿宋_GB2312" w:hAnsi="仿宋_GB2312" w:eastAsia="仿宋_GB2312" w:cs="仿宋_GB2312"/>
          <w:b w:val="0"/>
          <w:bCs w:val="0"/>
          <w:color w:val="auto"/>
          <w:sz w:val="28"/>
          <w:szCs w:val="28"/>
        </w:rPr>
        <w:t>合同要求供货。</w:t>
      </w:r>
    </w:p>
    <w:p w14:paraId="4DC3CF7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eastAsia="zh-CN"/>
        </w:rPr>
        <w:t>六、</w:t>
      </w:r>
      <w:r>
        <w:rPr>
          <w:rFonts w:hint="eastAsia" w:ascii="仿宋_GB2312" w:hAnsi="仿宋_GB2312" w:eastAsia="仿宋_GB2312" w:cs="仿宋_GB2312"/>
          <w:b w:val="0"/>
          <w:bCs w:val="0"/>
          <w:color w:val="auto"/>
          <w:sz w:val="28"/>
          <w:szCs w:val="28"/>
        </w:rPr>
        <w:t>乙方及其营</w:t>
      </w:r>
      <w:r>
        <w:rPr>
          <w:rFonts w:hint="eastAsia" w:ascii="仿宋_GB2312" w:hAnsi="仿宋_GB2312" w:eastAsia="仿宋_GB2312" w:cs="仿宋_GB2312"/>
          <w:b w:val="0"/>
          <w:bCs w:val="0"/>
          <w:color w:val="auto"/>
          <w:kern w:val="18"/>
          <w:sz w:val="28"/>
          <w:szCs w:val="28"/>
        </w:rPr>
        <w:t>销人员不得以回扣</w:t>
      </w:r>
      <w:r>
        <w:rPr>
          <w:rFonts w:hint="eastAsia" w:ascii="仿宋_GB2312" w:hAnsi="仿宋_GB2312" w:eastAsia="仿宋_GB2312" w:cs="仿宋_GB2312"/>
          <w:b w:val="0"/>
          <w:bCs w:val="0"/>
          <w:color w:val="auto"/>
          <w:kern w:val="18"/>
          <w:sz w:val="28"/>
          <w:szCs w:val="28"/>
          <w:lang w:eastAsia="zh-CN"/>
        </w:rPr>
        <w:t>、</w:t>
      </w:r>
      <w:r>
        <w:rPr>
          <w:rFonts w:hint="eastAsia" w:ascii="仿宋_GB2312" w:hAnsi="仿宋_GB2312" w:eastAsia="仿宋_GB2312" w:cs="仿宋_GB2312"/>
          <w:b w:val="0"/>
          <w:bCs w:val="0"/>
          <w:color w:val="auto"/>
          <w:kern w:val="18"/>
          <w:sz w:val="28"/>
          <w:szCs w:val="28"/>
        </w:rPr>
        <w:t>提成</w:t>
      </w:r>
      <w:r>
        <w:rPr>
          <w:rFonts w:hint="eastAsia" w:ascii="仿宋_GB2312" w:hAnsi="仿宋_GB2312" w:eastAsia="仿宋_GB2312" w:cs="仿宋_GB2312"/>
          <w:b w:val="0"/>
          <w:bCs w:val="0"/>
          <w:color w:val="auto"/>
          <w:kern w:val="18"/>
          <w:sz w:val="28"/>
          <w:szCs w:val="28"/>
          <w:lang w:eastAsia="zh-CN"/>
        </w:rPr>
        <w:t>、</w:t>
      </w:r>
      <w:r>
        <w:rPr>
          <w:rFonts w:hint="eastAsia" w:ascii="仿宋_GB2312" w:hAnsi="仿宋_GB2312" w:eastAsia="仿宋_GB2312" w:cs="仿宋_GB2312"/>
          <w:b w:val="0"/>
          <w:bCs w:val="0"/>
          <w:color w:val="auto"/>
          <w:kern w:val="18"/>
          <w:sz w:val="28"/>
          <w:szCs w:val="28"/>
        </w:rPr>
        <w:t>旅游、考察、宴请等形式</w:t>
      </w:r>
      <w:r>
        <w:rPr>
          <w:rFonts w:hint="eastAsia" w:ascii="仿宋_GB2312" w:hAnsi="仿宋_GB2312" w:eastAsia="仿宋_GB2312" w:cs="仿宋_GB2312"/>
          <w:b w:val="0"/>
          <w:bCs w:val="0"/>
          <w:color w:val="auto"/>
          <w:sz w:val="28"/>
          <w:szCs w:val="28"/>
          <w:highlight w:val="none"/>
        </w:rPr>
        <w:t>影响甲方工作人员采购</w:t>
      </w:r>
      <w:r>
        <w:rPr>
          <w:rFonts w:hint="eastAsia" w:ascii="仿宋_GB2312" w:hAnsi="仿宋_GB2312" w:eastAsia="仿宋_GB2312" w:cs="仿宋_GB2312"/>
          <w:b w:val="0"/>
          <w:bCs w:val="0"/>
          <w:color w:val="auto"/>
          <w:sz w:val="28"/>
          <w:szCs w:val="28"/>
          <w:highlight w:val="none"/>
          <w:lang w:eastAsia="zh-CN"/>
        </w:rPr>
        <w:t>或</w:t>
      </w:r>
      <w:r>
        <w:rPr>
          <w:rFonts w:hint="eastAsia" w:ascii="仿宋_GB2312" w:hAnsi="仿宋_GB2312" w:eastAsia="仿宋_GB2312" w:cs="仿宋_GB2312"/>
          <w:b w:val="0"/>
          <w:bCs w:val="0"/>
          <w:color w:val="auto"/>
          <w:sz w:val="28"/>
          <w:szCs w:val="28"/>
          <w:highlight w:val="none"/>
        </w:rPr>
        <w:t>使用产品的选择权，不得在学术活动中提供旅游、超标准支付食宿费用。</w:t>
      </w:r>
    </w:p>
    <w:p w14:paraId="51B8020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eastAsia="zh-CN"/>
        </w:rPr>
        <w:t>七、</w:t>
      </w:r>
      <w:r>
        <w:rPr>
          <w:rFonts w:hint="eastAsia" w:ascii="仿宋_GB2312" w:hAnsi="仿宋_GB2312" w:eastAsia="仿宋_GB2312" w:cs="仿宋_GB2312"/>
          <w:b w:val="0"/>
          <w:bCs w:val="0"/>
          <w:color w:val="auto"/>
          <w:sz w:val="28"/>
          <w:szCs w:val="28"/>
        </w:rPr>
        <w:t>乙方指定</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作为销售代表洽谈业务。销售代表必须在工作时间到甲方指定地点联系商谈，不得到住院部、门诊部、医技科室等推销医药产品，不得借故到甲方相关领导、部门负责人及相关工作人员家中访谈并提供任何好处费。</w:t>
      </w:r>
    </w:p>
    <w:p w14:paraId="03CE11C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eastAsia="zh-CN"/>
        </w:rPr>
        <w:t>八、</w:t>
      </w:r>
      <w:r>
        <w:rPr>
          <w:rFonts w:hint="eastAsia" w:ascii="仿宋_GB2312" w:hAnsi="仿宋_GB2312" w:eastAsia="仿宋_GB2312" w:cs="仿宋_GB2312"/>
          <w:b w:val="0"/>
          <w:bCs w:val="0"/>
          <w:color w:val="auto"/>
          <w:sz w:val="28"/>
          <w:szCs w:val="28"/>
          <w:highlight w:val="none"/>
        </w:rPr>
        <w:t>乙方如违反本</w:t>
      </w:r>
      <w:r>
        <w:rPr>
          <w:rFonts w:hint="eastAsia" w:ascii="仿宋_GB2312" w:hAnsi="仿宋_GB2312" w:eastAsia="仿宋_GB2312" w:cs="仿宋_GB2312"/>
          <w:b w:val="0"/>
          <w:bCs w:val="0"/>
          <w:color w:val="auto"/>
          <w:sz w:val="28"/>
          <w:szCs w:val="28"/>
          <w:highlight w:val="none"/>
          <w:lang w:eastAsia="zh-CN"/>
        </w:rPr>
        <w:t>协议</w:t>
      </w:r>
      <w:r>
        <w:rPr>
          <w:rFonts w:hint="eastAsia" w:ascii="仿宋_GB2312" w:hAnsi="仿宋_GB2312" w:eastAsia="仿宋_GB2312" w:cs="仿宋_GB2312"/>
          <w:b w:val="0"/>
          <w:bCs w:val="0"/>
          <w:color w:val="auto"/>
          <w:sz w:val="28"/>
          <w:szCs w:val="28"/>
          <w:highlight w:val="none"/>
        </w:rPr>
        <w:t>，一经发现，甲方有权终止购销合同，并向有关卫生行政</w:t>
      </w:r>
      <w:r>
        <w:rPr>
          <w:rFonts w:hint="eastAsia" w:ascii="仿宋_GB2312" w:hAnsi="仿宋_GB2312" w:eastAsia="仿宋_GB2312" w:cs="仿宋_GB2312"/>
          <w:b w:val="0"/>
          <w:bCs w:val="0"/>
          <w:color w:val="auto"/>
          <w:sz w:val="28"/>
          <w:szCs w:val="28"/>
          <w:highlight w:val="none"/>
          <w:lang w:eastAsia="zh-CN"/>
        </w:rPr>
        <w:t>主管</w:t>
      </w:r>
      <w:r>
        <w:rPr>
          <w:rFonts w:hint="eastAsia" w:ascii="仿宋_GB2312" w:hAnsi="仿宋_GB2312" w:eastAsia="仿宋_GB2312" w:cs="仿宋_GB2312"/>
          <w:b w:val="0"/>
          <w:bCs w:val="0"/>
          <w:color w:val="auto"/>
          <w:sz w:val="28"/>
          <w:szCs w:val="28"/>
          <w:highlight w:val="none"/>
        </w:rPr>
        <w:t>部门报告。如乙方被列入商业贿赂不良记录，则严格按照《国家卫生计生委关于建立医药购销领域商业贿赂不良记录的规定》</w:t>
      </w:r>
      <w:r>
        <w:rPr>
          <w:rFonts w:hint="eastAsia" w:ascii="仿宋_GB2312" w:hAnsi="仿宋_GB2312" w:eastAsia="仿宋_GB2312" w:cs="仿宋_GB2312"/>
          <w:b w:val="0"/>
          <w:bCs w:val="0"/>
          <w:color w:val="auto"/>
          <w:sz w:val="28"/>
          <w:szCs w:val="28"/>
          <w:highlight w:val="none"/>
          <w:shd w:val="clear" w:color="auto" w:fill="FFFFFF"/>
        </w:rPr>
        <w:t>（国卫法制发〔2013〕50号）</w:t>
      </w:r>
      <w:r>
        <w:rPr>
          <w:rFonts w:hint="eastAsia" w:ascii="仿宋_GB2312" w:hAnsi="仿宋_GB2312" w:eastAsia="仿宋_GB2312" w:cs="仿宋_GB2312"/>
          <w:b w:val="0"/>
          <w:bCs w:val="0"/>
          <w:color w:val="auto"/>
          <w:sz w:val="28"/>
          <w:szCs w:val="28"/>
          <w:highlight w:val="none"/>
        </w:rPr>
        <w:t>相关规定处理。</w:t>
      </w:r>
    </w:p>
    <w:p w14:paraId="165E360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highlight w:val="none"/>
          <w:lang w:eastAsia="zh-CN"/>
        </w:rPr>
        <w:t>九、</w:t>
      </w:r>
      <w:r>
        <w:rPr>
          <w:rFonts w:hint="eastAsia" w:ascii="仿宋_GB2312" w:hAnsi="仿宋_GB2312" w:eastAsia="仿宋_GB2312" w:cs="仿宋_GB2312"/>
          <w:b w:val="0"/>
          <w:bCs w:val="0"/>
          <w:color w:val="auto"/>
          <w:sz w:val="28"/>
          <w:szCs w:val="28"/>
          <w:highlight w:val="none"/>
        </w:rPr>
        <w:t>本</w:t>
      </w:r>
      <w:r>
        <w:rPr>
          <w:rFonts w:hint="eastAsia" w:ascii="仿宋_GB2312" w:hAnsi="仿宋_GB2312" w:eastAsia="仿宋_GB2312" w:cs="仿宋_GB2312"/>
          <w:b w:val="0"/>
          <w:bCs w:val="0"/>
          <w:color w:val="auto"/>
          <w:sz w:val="28"/>
          <w:szCs w:val="28"/>
          <w:highlight w:val="none"/>
          <w:lang w:eastAsia="zh-CN"/>
        </w:rPr>
        <w:t>协议</w:t>
      </w:r>
      <w:r>
        <w:rPr>
          <w:rFonts w:hint="eastAsia" w:ascii="仿宋_GB2312" w:hAnsi="仿宋_GB2312" w:eastAsia="仿宋_GB2312" w:cs="仿宋_GB2312"/>
          <w:b w:val="0"/>
          <w:bCs w:val="0"/>
          <w:color w:val="auto"/>
          <w:sz w:val="28"/>
          <w:szCs w:val="28"/>
          <w:highlight w:val="none"/>
        </w:rPr>
        <w:t>附随主合同，作为购销合同的重要组成部分，与购销合同一并执行，具有同等的法律效力。</w:t>
      </w:r>
    </w:p>
    <w:p w14:paraId="3FD07F1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val="0"/>
          <w:color w:val="auto"/>
          <w:sz w:val="28"/>
          <w:szCs w:val="28"/>
        </w:rPr>
      </w:pPr>
      <w:r>
        <w:rPr>
          <w:rFonts w:hint="eastAsia" w:ascii="仿宋_GB2312" w:hAnsi="仿宋_GB2312" w:eastAsia="仿宋_GB2312" w:cs="仿宋_GB2312"/>
          <w:b w:val="0"/>
          <w:bCs w:val="0"/>
          <w:color w:val="auto"/>
          <w:sz w:val="28"/>
          <w:szCs w:val="28"/>
        </w:rPr>
        <w:t xml:space="preserve">  </w:t>
      </w:r>
    </w:p>
    <w:p w14:paraId="59260A20">
      <w:pPr>
        <w:pStyle w:val="3"/>
        <w:rPr>
          <w:rFonts w:hint="eastAsia" w:ascii="仿宋" w:hAnsi="仿宋" w:eastAsia="仿宋" w:cs="仿宋"/>
          <w:snapToGrid w:val="0"/>
          <w:color w:val="auto"/>
          <w:sz w:val="28"/>
          <w:szCs w:val="28"/>
          <w:lang w:val="en-US" w:eastAsia="zh-CN"/>
        </w:rPr>
      </w:pPr>
    </w:p>
    <w:p w14:paraId="36DC674A">
      <w:pPr>
        <w:rPr>
          <w:rFonts w:hint="default"/>
          <w:color w:val="auto"/>
          <w:lang w:val="en-US" w:eastAsia="zh-CN"/>
        </w:rPr>
      </w:pPr>
    </w:p>
    <w:p w14:paraId="0CC23F54">
      <w:pPr>
        <w:rPr>
          <w:rFonts w:hint="eastAsia" w:ascii="仿宋" w:hAnsi="仿宋" w:eastAsia="仿宋" w:cs="仿宋"/>
          <w:snapToGrid w:val="0"/>
          <w:color w:val="auto"/>
          <w:sz w:val="28"/>
          <w:szCs w:val="28"/>
          <w:lang w:val="en-US" w:eastAsia="zh-CN"/>
        </w:rPr>
      </w:pPr>
    </w:p>
    <w:p w14:paraId="63048F5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0A94B0B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75F10F3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144A37B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0586777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7BF0D95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32A36F4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3FB694D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60BAA72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119951A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kern w:val="18"/>
          <w:sz w:val="32"/>
          <w:szCs w:val="32"/>
        </w:rPr>
      </w:pPr>
    </w:p>
    <w:p w14:paraId="7D7E26EB">
      <w:pPr>
        <w:pStyle w:val="3"/>
        <w:rPr>
          <w:rFonts w:hint="eastAsia" w:ascii="仿宋" w:hAnsi="仿宋" w:eastAsia="仿宋" w:cs="仿宋"/>
          <w:b w:val="0"/>
          <w:bCs w:val="0"/>
          <w:color w:val="auto"/>
          <w:kern w:val="18"/>
          <w:sz w:val="32"/>
          <w:szCs w:val="32"/>
        </w:rPr>
      </w:pPr>
    </w:p>
    <w:p w14:paraId="524D06F9">
      <w:pPr>
        <w:rPr>
          <w:rFonts w:hint="eastAsia" w:ascii="仿宋" w:hAnsi="仿宋" w:eastAsia="仿宋" w:cs="仿宋"/>
          <w:b w:val="0"/>
          <w:bCs w:val="0"/>
          <w:color w:val="auto"/>
          <w:kern w:val="18"/>
          <w:sz w:val="32"/>
          <w:szCs w:val="32"/>
        </w:rPr>
      </w:pPr>
    </w:p>
    <w:p w14:paraId="1987EFCF">
      <w:pPr>
        <w:pStyle w:val="3"/>
        <w:rPr>
          <w:rFonts w:hint="eastAsia" w:ascii="仿宋" w:hAnsi="仿宋" w:eastAsia="仿宋" w:cs="仿宋"/>
          <w:b w:val="0"/>
          <w:bCs w:val="0"/>
          <w:color w:val="auto"/>
          <w:kern w:val="18"/>
          <w:sz w:val="32"/>
          <w:szCs w:val="32"/>
        </w:rPr>
      </w:pPr>
    </w:p>
    <w:p w14:paraId="4F4475BA">
      <w:pPr>
        <w:rPr>
          <w:rFonts w:hint="eastAsia" w:ascii="仿宋" w:hAnsi="仿宋" w:eastAsia="仿宋" w:cs="仿宋"/>
          <w:b w:val="0"/>
          <w:bCs w:val="0"/>
          <w:color w:val="auto"/>
          <w:kern w:val="18"/>
          <w:sz w:val="32"/>
          <w:szCs w:val="32"/>
        </w:rPr>
      </w:pPr>
    </w:p>
    <w:p w14:paraId="0075CB95">
      <w:pPr>
        <w:pStyle w:val="3"/>
        <w:rPr>
          <w:rFonts w:hint="eastAsia" w:ascii="仿宋" w:hAnsi="仿宋" w:eastAsia="仿宋" w:cs="仿宋"/>
          <w:b w:val="0"/>
          <w:bCs w:val="0"/>
          <w:color w:val="auto"/>
          <w:kern w:val="18"/>
          <w:sz w:val="32"/>
          <w:szCs w:val="32"/>
        </w:rPr>
      </w:pPr>
    </w:p>
    <w:p w14:paraId="5EEEDB78">
      <w:pPr>
        <w:rPr>
          <w:rFonts w:hint="eastAsia"/>
          <w:color w:val="auto"/>
        </w:rPr>
      </w:pPr>
    </w:p>
    <w:p w14:paraId="1BC1F65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b/>
          <w:color w:val="auto"/>
          <w:sz w:val="30"/>
          <w:szCs w:val="30"/>
        </w:rPr>
      </w:pPr>
      <w:r>
        <w:rPr>
          <w:rFonts w:hint="eastAsia" w:ascii="仿宋" w:hAnsi="仿宋" w:eastAsia="仿宋" w:cs="仿宋"/>
          <w:b w:val="0"/>
          <w:bCs w:val="0"/>
          <w:color w:val="auto"/>
          <w:kern w:val="18"/>
          <w:sz w:val="32"/>
          <w:szCs w:val="32"/>
        </w:rPr>
        <w:t>附件</w:t>
      </w:r>
      <w:r>
        <w:rPr>
          <w:rFonts w:hint="eastAsia" w:ascii="仿宋" w:hAnsi="仿宋" w:eastAsia="仿宋" w:cs="仿宋"/>
          <w:b w:val="0"/>
          <w:bCs w:val="0"/>
          <w:color w:val="auto"/>
          <w:kern w:val="18"/>
          <w:sz w:val="32"/>
          <w:szCs w:val="32"/>
          <w:lang w:val="en-US" w:eastAsia="zh-CN"/>
        </w:rPr>
        <w:t>3</w:t>
      </w:r>
      <w:r>
        <w:rPr>
          <w:rFonts w:hint="eastAsia" w:ascii="仿宋" w:hAnsi="仿宋" w:eastAsia="仿宋" w:cs="仿宋"/>
          <w:b w:val="0"/>
          <w:bCs w:val="0"/>
          <w:color w:val="auto"/>
          <w:kern w:val="18"/>
          <w:sz w:val="32"/>
          <w:szCs w:val="32"/>
        </w:rPr>
        <w:t>：</w:t>
      </w:r>
    </w:p>
    <w:p w14:paraId="1C0C6027">
      <w:pPr>
        <w:jc w:val="center"/>
        <w:rPr>
          <w:b/>
          <w:color w:val="auto"/>
          <w:sz w:val="32"/>
          <w:szCs w:val="32"/>
        </w:rPr>
      </w:pPr>
      <w:r>
        <w:rPr>
          <w:rFonts w:hint="eastAsia"/>
          <w:b/>
          <w:color w:val="auto"/>
          <w:sz w:val="32"/>
          <w:szCs w:val="32"/>
        </w:rPr>
        <w:t>医疗器械质量保证协议</w:t>
      </w:r>
    </w:p>
    <w:p w14:paraId="34F201E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b w:val="0"/>
          <w:bCs w:val="0"/>
          <w:color w:val="auto"/>
          <w:sz w:val="28"/>
          <w:szCs w:val="28"/>
          <w:lang w:eastAsia="zh-CN"/>
        </w:rPr>
      </w:pPr>
      <w:r>
        <w:rPr>
          <w:rFonts w:hint="eastAsia" w:ascii="仿宋_GB2312" w:hAnsi="仿宋_GB2312" w:eastAsia="仿宋_GB2312" w:cs="仿宋_GB2312"/>
          <w:b w:val="0"/>
          <w:bCs w:val="0"/>
          <w:color w:val="auto"/>
          <w:sz w:val="28"/>
          <w:szCs w:val="28"/>
        </w:rPr>
        <w:t>甲方（</w:t>
      </w:r>
      <w:r>
        <w:rPr>
          <w:rFonts w:hint="eastAsia" w:ascii="仿宋_GB2312" w:hAnsi="仿宋_GB2312" w:eastAsia="仿宋_GB2312" w:cs="仿宋_GB2312"/>
          <w:b w:val="0"/>
          <w:bCs w:val="0"/>
          <w:color w:val="auto"/>
          <w:sz w:val="28"/>
          <w:szCs w:val="28"/>
          <w:lang w:val="en-US" w:eastAsia="zh-CN"/>
        </w:rPr>
        <w:t>采购人</w:t>
      </w:r>
      <w:r>
        <w:rPr>
          <w:rFonts w:hint="eastAsia" w:ascii="仿宋_GB2312" w:hAnsi="仿宋_GB2312" w:eastAsia="仿宋_GB2312" w:cs="仿宋_GB2312"/>
          <w:b w:val="0"/>
          <w:bCs w:val="0"/>
          <w:color w:val="auto"/>
          <w:sz w:val="28"/>
          <w:szCs w:val="28"/>
        </w:rPr>
        <w:t>）：</w:t>
      </w:r>
      <w:r>
        <w:rPr>
          <w:rFonts w:hint="eastAsia" w:ascii="仿宋_GB2312" w:hAnsi="仿宋_GB2312" w:eastAsia="仿宋_GB2312" w:cs="仿宋_GB2312"/>
          <w:b w:val="0"/>
          <w:bCs w:val="0"/>
          <w:color w:val="auto"/>
          <w:sz w:val="28"/>
          <w:szCs w:val="28"/>
          <w:lang w:eastAsia="zh-CN"/>
        </w:rPr>
        <w:t>雅安市人民医院</w:t>
      </w:r>
    </w:p>
    <w:p w14:paraId="50D340D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rPr>
        <w:t>乙方（生产企业</w:t>
      </w:r>
      <w:r>
        <w:rPr>
          <w:rFonts w:hint="eastAsia" w:ascii="仿宋_GB2312" w:hAnsi="仿宋_GB2312" w:eastAsia="仿宋_GB2312" w:cs="仿宋_GB2312"/>
          <w:b w:val="0"/>
          <w:bCs w:val="0"/>
          <w:color w:val="auto"/>
          <w:sz w:val="28"/>
          <w:szCs w:val="28"/>
          <w:lang w:eastAsia="zh-CN"/>
        </w:rPr>
        <w:t>或供应商</w:t>
      </w:r>
      <w:r>
        <w:rPr>
          <w:rFonts w:hint="eastAsia" w:ascii="仿宋_GB2312" w:hAnsi="仿宋_GB2312" w:eastAsia="仿宋_GB2312" w:cs="仿宋_GB2312"/>
          <w:b w:val="0"/>
          <w:bCs w:val="0"/>
          <w:color w:val="auto"/>
          <w:sz w:val="28"/>
          <w:szCs w:val="28"/>
        </w:rPr>
        <w:t>）：</w:t>
      </w:r>
    </w:p>
    <w:p w14:paraId="556D4FB3">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确保医院各类医用耗材、试剂、器械的产品质量，保证临床医疗安全，根据《中华人民共和国产品质量法》、《医疗器械监督管理条例》、《医疗器械经营监督管理办法》、《医疗器械经营质量管理规范》等有关的法律法规以及行业有关规定，保证医疗器械的安全性和有效性，经双方协商一致，双方本着平等自愿的原则制订以下医疗器械质量保证协议。</w:t>
      </w:r>
    </w:p>
    <w:p w14:paraId="478B23DC">
      <w:pPr>
        <w:pStyle w:val="9"/>
        <w:keepNext w:val="0"/>
        <w:keepLines w:val="0"/>
        <w:pageBreakBefore w:val="0"/>
        <w:numPr>
          <w:ilvl w:val="0"/>
          <w:numId w:val="1"/>
        </w:numPr>
        <w:kinsoku/>
        <w:wordWrap/>
        <w:overflowPunct/>
        <w:topLinePunct w:val="0"/>
        <w:autoSpaceDE/>
        <w:autoSpaceDN/>
        <w:bidi w:val="0"/>
        <w:adjustRightInd/>
        <w:snapToGrid/>
        <w:spacing w:line="360" w:lineRule="exact"/>
        <w:ind w:left="0" w:leftChars="0" w:firstLine="420" w:firstLineChars="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责任</w:t>
      </w:r>
    </w:p>
    <w:p w14:paraId="73D3242B">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作为依法使用医疗器械的单位，向</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提供合法、有效的加盖</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公章的组织机构代码证书。必要时向</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提供由法定代表人签署并加盖公章的授权委托书。</w:t>
      </w:r>
    </w:p>
    <w:p w14:paraId="6134EBDD">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负责产品的验收，包括产品外观、包装和标签的检查、批号、数量的确认等，并在</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的随货同行单上签字。</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如发现包装不牢、破损、标示模糊、缺货等情形，</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应当场拒收（冷链产品除外），并第一时间通知</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w:t>
      </w:r>
    </w:p>
    <w:p w14:paraId="7B38F7C8">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3.冷链试剂到货后，</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应协助优先快速办理验收入库。</w:t>
      </w:r>
    </w:p>
    <w:p w14:paraId="4F4B89C4">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3.1 如现场发现破损、变形、超温等异常情况，不得现场直接拒收，应立即移入相应的冷藏库区，并当场联系</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销售人员协商解决。</w:t>
      </w:r>
    </w:p>
    <w:p w14:paraId="701CAD04">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3.2 需要跟踪在途温度的冷链试剂，</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应配合在冷库内当场将温度记录仪取出，并如实填写温度记录仪跟踪表的相关内容，一并交送货人带回</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留存冷链记录单。</w:t>
      </w:r>
    </w:p>
    <w:p w14:paraId="252419F6">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3.3 如需对冷藏试剂进行现场测温记录的，</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应确保在相应冷藏库区或冷藏车内进行测温。</w:t>
      </w:r>
    </w:p>
    <w:p w14:paraId="033E336A">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在使用过程中，如发现质量问题应立即向</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查询。</w:t>
      </w:r>
    </w:p>
    <w:p w14:paraId="091A353C">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承诺为</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供应的医用耗材、试剂、器械提供符合国家规定的储存条件。</w:t>
      </w:r>
    </w:p>
    <w:p w14:paraId="3F10FD6D">
      <w:pPr>
        <w:keepNext w:val="0"/>
        <w:keepLines w:val="0"/>
        <w:pageBreakBefore w:val="0"/>
        <w:widowControl/>
        <w:kinsoku/>
        <w:wordWrap/>
        <w:overflowPunct/>
        <w:topLinePunct w:val="0"/>
        <w:autoSpaceDE/>
        <w:autoSpaceDN/>
        <w:bidi w:val="0"/>
        <w:adjustRightInd/>
        <w:snapToGrid/>
        <w:spacing w:line="360" w:lineRule="exact"/>
        <w:ind w:firstLine="560" w:firstLineChars="200"/>
        <w:jc w:val="left"/>
        <w:textAlignment w:val="auto"/>
        <w:rPr>
          <w:rFonts w:hint="eastAsia"/>
          <w:color w:val="auto"/>
        </w:rPr>
      </w:pPr>
      <w:r>
        <w:rPr>
          <w:rFonts w:hint="eastAsia" w:ascii="仿宋_GB2312" w:hAnsi="仿宋_GB2312" w:eastAsia="仿宋_GB2312" w:cs="仿宋_GB2312"/>
          <w:color w:val="auto"/>
          <w:sz w:val="28"/>
          <w:szCs w:val="28"/>
        </w:rPr>
        <w:t>6.</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应积极配合</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履行召回义务，主动反馈或上报医疗器械不良事件</w:t>
      </w:r>
      <w:r>
        <w:rPr>
          <w:rFonts w:hint="eastAsia" w:ascii="仿宋_GB2312" w:hAnsi="仿宋_GB2312" w:eastAsia="仿宋_GB2312" w:cs="仿宋_GB2312"/>
          <w:color w:val="auto"/>
          <w:kern w:val="0"/>
          <w:sz w:val="28"/>
          <w:szCs w:val="28"/>
        </w:rPr>
        <w:t>。</w:t>
      </w:r>
    </w:p>
    <w:p w14:paraId="6726D53F">
      <w:pPr>
        <w:pStyle w:val="9"/>
        <w:keepNext w:val="0"/>
        <w:keepLines w:val="0"/>
        <w:pageBreakBefore w:val="0"/>
        <w:numPr>
          <w:ilvl w:val="0"/>
          <w:numId w:val="1"/>
        </w:numPr>
        <w:kinsoku/>
        <w:wordWrap/>
        <w:overflowPunct/>
        <w:topLinePunct w:val="0"/>
        <w:autoSpaceDE/>
        <w:autoSpaceDN/>
        <w:bidi w:val="0"/>
        <w:adjustRightInd/>
        <w:snapToGrid/>
        <w:spacing w:line="360" w:lineRule="exact"/>
        <w:ind w:left="0" w:leftChars="0" w:firstLine="420" w:firstLineChars="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责任</w:t>
      </w:r>
    </w:p>
    <w:p w14:paraId="58F8C334">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作为供应商，应遵守国家法律法规，向</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提供合法、有效的加盖</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公章的医疗器械经营许可证、医疗器械经营备案凭证、医疗器械注册证(含注册登记表)、医疗器械生产企业许可证、委托授权书、企业法人营业执照等相关文件，并对其提供各类资质证件的真实性、合法性承担法律责任，相关资质证件到期或变更前必须及时到</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办理资质证件的更新备案。</w:t>
      </w:r>
    </w:p>
    <w:p w14:paraId="4C897805">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业务人员应向</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提供加盖</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公章的身份证复印件、委托书等，并严格按照委托书限定的范围开展活动。</w:t>
      </w:r>
    </w:p>
    <w:p w14:paraId="710DE42C">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提供的医用耗材、试剂、器械、设备必须符合国家标准及相关质量要求，并遵照《中华人民共和国产品质量法》的有关要求承担所供产品的质量责任，非人为因素产生的质量问题由</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负责，造成</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无法正常使用时，</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承诺给予退换货。</w:t>
      </w:r>
    </w:p>
    <w:p w14:paraId="160FEFFE">
      <w:pPr>
        <w:pStyle w:val="9"/>
        <w:keepNext w:val="0"/>
        <w:keepLines w:val="0"/>
        <w:pageBreakBefore w:val="0"/>
        <w:kinsoku/>
        <w:wordWrap/>
        <w:overflowPunct/>
        <w:topLinePunct w:val="0"/>
        <w:autoSpaceDE/>
        <w:autoSpaceDN/>
        <w:bidi w:val="0"/>
        <w:adjustRightInd/>
        <w:snapToGrid/>
        <w:spacing w:line="360" w:lineRule="exact"/>
        <w:ind w:left="2"/>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提供的进口医疗器械，应提供在效期内的《进口医疗器械注册证》或《进口医疗器械通关单》、《医疗器械注册登记表》复印件，并加盖</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公章。进口医疗器械必须有中文标识和中文说明书。</w:t>
      </w:r>
    </w:p>
    <w:p w14:paraId="430FF229">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提供医疗器械的包装、标识、标签、说明书、批准文号、灭菌批号等应符合国家和行业的有关规定。</w:t>
      </w:r>
    </w:p>
    <w:p w14:paraId="5020653C">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承诺按照符合国家规定的储运条件为</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配送医疗器械，因储存或运输不当造成的损失由</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负责。</w:t>
      </w:r>
    </w:p>
    <w:p w14:paraId="461294AE">
      <w:pPr>
        <w:keepNext w:val="0"/>
        <w:keepLines w:val="0"/>
        <w:pageBreakBefore w:val="0"/>
        <w:kinsoku/>
        <w:wordWrap/>
        <w:overflowPunct/>
        <w:topLinePunct w:val="0"/>
        <w:autoSpaceDE/>
        <w:autoSpaceDN/>
        <w:bidi w:val="0"/>
        <w:adjustRightInd/>
        <w:snapToGrid/>
        <w:spacing w:line="360" w:lineRule="exact"/>
        <w:ind w:firstLine="42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7.</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向</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销售医疗器械时，</w:t>
      </w:r>
      <w:r>
        <w:rPr>
          <w:rFonts w:hint="eastAsia" w:ascii="仿宋_GB2312" w:hAnsi="仿宋_GB2312" w:eastAsia="仿宋_GB2312" w:cs="仿宋_GB2312"/>
          <w:color w:val="auto"/>
          <w:kern w:val="0"/>
          <w:sz w:val="28"/>
          <w:szCs w:val="28"/>
        </w:rPr>
        <w:t>应当按照国家规定向</w:t>
      </w:r>
      <w:r>
        <w:rPr>
          <w:rFonts w:hint="eastAsia" w:ascii="仿宋_GB2312" w:hAnsi="仿宋_GB2312" w:eastAsia="仿宋_GB2312" w:cs="仿宋_GB2312"/>
          <w:color w:val="auto"/>
          <w:kern w:val="0"/>
          <w:sz w:val="28"/>
          <w:szCs w:val="28"/>
          <w:lang w:val="en-US" w:eastAsia="zh-CN"/>
        </w:rPr>
        <w:t>甲方</w:t>
      </w:r>
      <w:r>
        <w:rPr>
          <w:rFonts w:hint="eastAsia" w:ascii="仿宋_GB2312" w:hAnsi="仿宋_GB2312" w:eastAsia="仿宋_GB2312" w:cs="仿宋_GB2312"/>
          <w:color w:val="auto"/>
          <w:kern w:val="0"/>
          <w:sz w:val="28"/>
          <w:szCs w:val="28"/>
        </w:rPr>
        <w:t>开具随货同行单（票）和发票；随货同行单（票）应当包括</w:t>
      </w:r>
      <w:r>
        <w:rPr>
          <w:rFonts w:hint="eastAsia" w:ascii="仿宋_GB2312" w:hAnsi="仿宋_GB2312" w:eastAsia="仿宋_GB2312" w:cs="仿宋_GB2312"/>
          <w:color w:val="auto"/>
          <w:kern w:val="0"/>
          <w:sz w:val="28"/>
          <w:szCs w:val="28"/>
          <w:lang w:val="en-US" w:eastAsia="zh-CN"/>
        </w:rPr>
        <w:t>乙方</w:t>
      </w:r>
      <w:r>
        <w:rPr>
          <w:rFonts w:hint="eastAsia" w:ascii="仿宋_GB2312" w:hAnsi="仿宋_GB2312" w:eastAsia="仿宋_GB2312" w:cs="仿宋_GB2312"/>
          <w:color w:val="auto"/>
          <w:kern w:val="0"/>
          <w:sz w:val="28"/>
          <w:szCs w:val="28"/>
        </w:rPr>
        <w:t>及联系方式、生产厂商、产品的注册证名称、产品注册证号、商品代码或流水号、规格、批号、数量、效期、计量单位、价格、医保编码、收货单位、收货地址、发货日期等内容，需特殊环境储存的产品应备注储存条件，并加盖</w:t>
      </w:r>
      <w:r>
        <w:rPr>
          <w:rFonts w:hint="eastAsia" w:ascii="仿宋_GB2312" w:hAnsi="仿宋_GB2312" w:eastAsia="仿宋_GB2312" w:cs="仿宋_GB2312"/>
          <w:color w:val="auto"/>
          <w:kern w:val="0"/>
          <w:sz w:val="28"/>
          <w:szCs w:val="28"/>
          <w:lang w:val="en-US" w:eastAsia="zh-CN"/>
        </w:rPr>
        <w:t>乙方</w:t>
      </w:r>
      <w:r>
        <w:rPr>
          <w:rFonts w:hint="eastAsia" w:ascii="仿宋_GB2312" w:hAnsi="仿宋_GB2312" w:eastAsia="仿宋_GB2312" w:cs="仿宋_GB2312"/>
          <w:color w:val="auto"/>
          <w:kern w:val="0"/>
          <w:sz w:val="28"/>
          <w:szCs w:val="28"/>
        </w:rPr>
        <w:t>出库专用章；发票应当列明产品的注册证名称、规格、计量单位、数量、单价、金额等；不能全部列明的，应当附《销售货物清单》，并加盖</w:t>
      </w:r>
      <w:r>
        <w:rPr>
          <w:rFonts w:hint="eastAsia" w:ascii="仿宋_GB2312" w:hAnsi="仿宋_GB2312" w:eastAsia="仿宋_GB2312" w:cs="仿宋_GB2312"/>
          <w:color w:val="auto"/>
          <w:kern w:val="0"/>
          <w:sz w:val="28"/>
          <w:szCs w:val="28"/>
          <w:lang w:val="en-US" w:eastAsia="zh-CN"/>
        </w:rPr>
        <w:t>乙方</w:t>
      </w:r>
      <w:r>
        <w:rPr>
          <w:rFonts w:hint="eastAsia" w:ascii="仿宋_GB2312" w:hAnsi="仿宋_GB2312" w:eastAsia="仿宋_GB2312" w:cs="仿宋_GB2312"/>
          <w:color w:val="auto"/>
          <w:kern w:val="0"/>
          <w:sz w:val="28"/>
          <w:szCs w:val="28"/>
        </w:rPr>
        <w:t>发票专用章、注明税票号码。发票上的购、销信息应当与付款信息，并与财务账目内容相对应。</w:t>
      </w:r>
    </w:p>
    <w:p w14:paraId="4414095E">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8.</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提供的医疗器械如下变化时，需至少提前60个工作日书面通知</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w:t>
      </w:r>
    </w:p>
    <w:p w14:paraId="491E9F9D">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①</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公司信息发生变化时，包括公司名称变更、账户信息变更、公司性质变更等；</w:t>
      </w:r>
    </w:p>
    <w:p w14:paraId="7B834900">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②授权发生变化时；</w:t>
      </w:r>
    </w:p>
    <w:p w14:paraId="1039E6B4">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③产品信息发生变化时，包括生产厂家、产品注册证名称、型号、规格、商品代码/流水号等；</w:t>
      </w:r>
    </w:p>
    <w:p w14:paraId="2629F130">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④潜在的影响产品形式、特性和功能等的改变，包括产品升级、更新换代、停产、产品材质变化等；</w:t>
      </w:r>
    </w:p>
    <w:p w14:paraId="5DB1A08A">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⑤产品包装变更；</w:t>
      </w:r>
    </w:p>
    <w:p w14:paraId="1207E2C7">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⑥产品价格上涨；</w:t>
      </w:r>
    </w:p>
    <w:p w14:paraId="43B3637A">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⑦乙方</w:t>
      </w:r>
      <w:r>
        <w:rPr>
          <w:rFonts w:hint="eastAsia" w:ascii="仿宋_GB2312" w:hAnsi="仿宋_GB2312" w:eastAsia="仿宋_GB2312" w:cs="仿宋_GB2312"/>
          <w:color w:val="auto"/>
          <w:sz w:val="28"/>
          <w:szCs w:val="28"/>
        </w:rPr>
        <w:t>已知的其他会影响到</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公司产品性能和特点的改变。</w:t>
      </w:r>
    </w:p>
    <w:p w14:paraId="7C41D833">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9.挂网产品价格发生变化时，</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应立即告知</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w:t>
      </w:r>
      <w:r>
        <w:rPr>
          <w:rFonts w:hint="eastAsia" w:ascii="仿宋_GB2312" w:hAnsi="仿宋" w:eastAsia="仿宋_GB2312"/>
          <w:snapToGrid w:val="0"/>
          <w:color w:val="auto"/>
          <w:sz w:val="28"/>
          <w:szCs w:val="28"/>
          <w:u w:val="none"/>
          <w:lang w:val="en-US" w:eastAsia="zh-CN"/>
        </w:rPr>
        <w:t>合同</w:t>
      </w:r>
      <w:r>
        <w:rPr>
          <w:rFonts w:hint="eastAsia" w:ascii="仿宋_GB2312" w:hAnsi="仿宋_GB2312" w:eastAsia="仿宋_GB2312" w:cs="仿宋_GB2312"/>
          <w:color w:val="auto"/>
          <w:sz w:val="28"/>
          <w:szCs w:val="28"/>
          <w:lang w:val="en-US" w:eastAsia="zh-CN"/>
        </w:rPr>
        <w:t>中联动采购的医用耗材的实际结算价格，不得高于联动参考价、本省最高参考价、本机构发生实际采购交易以来的最低采购价、该产品上月末全省医药机构采购平均价中的任一价格。</w:t>
      </w:r>
    </w:p>
    <w:p w14:paraId="524A60D2">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10.</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接到</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查询时，应即时处理。</w:t>
      </w:r>
    </w:p>
    <w:p w14:paraId="14A838DD">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三、违约责任</w:t>
      </w:r>
    </w:p>
    <w:p w14:paraId="6714825C">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必须强化知识产权维护，遵守《中华人民共和国专利法》和有关的法律、法规，否则出现一切侵权行为及所有经济赔偿由</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全部承担。</w:t>
      </w:r>
    </w:p>
    <w:p w14:paraId="62D1CBA1">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rPr>
        <w:t>所提供的医用耗材、试剂、器械因质量不符合有关规定而造成不良后果的，按有关法律规定自行承担法律责任，并赔偿因此给</w:t>
      </w: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rPr>
        <w:t>造成的一切经济和名誉的损失。</w:t>
      </w:r>
    </w:p>
    <w:p w14:paraId="687DD34C">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3.违反本协议义务的行为均视为违约，违约方应承担违约责任，给对方造成损失的，违约方应全额赔偿。</w:t>
      </w:r>
    </w:p>
    <w:p w14:paraId="274279E7">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 </w:t>
      </w:r>
    </w:p>
    <w:p w14:paraId="5F0D6E59">
      <w:pPr>
        <w:pStyle w:val="9"/>
        <w:keepNext w:val="0"/>
        <w:keepLines w:val="0"/>
        <w:pageBreakBefore w:val="0"/>
        <w:kinsoku/>
        <w:wordWrap/>
        <w:overflowPunct/>
        <w:topLinePunct w:val="0"/>
        <w:autoSpaceDE/>
        <w:autoSpaceDN/>
        <w:bidi w:val="0"/>
        <w:adjustRightInd/>
        <w:snapToGrid/>
        <w:spacing w:line="360" w:lineRule="exact"/>
        <w:ind w:firstLine="0" w:firstLineChars="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四、甲乙双方责任</w:t>
      </w:r>
    </w:p>
    <w:p w14:paraId="5E641867">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1.甲乙双方共同协作，做好市场供应的调研工作，做好医疗器械的质量管理工作。</w:t>
      </w:r>
    </w:p>
    <w:p w14:paraId="1A4863E4">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2.甲乙双方应各自履行自己的责任，一方发生违约行为，另一方可以通过法律途径追究违约方的民事赔偿责任。</w:t>
      </w:r>
    </w:p>
    <w:p w14:paraId="5AF12FEF">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3.上述各条款中未尽事项者，由双方协商一致约定。</w:t>
      </w:r>
    </w:p>
    <w:p w14:paraId="04376B31">
      <w:pPr>
        <w:pStyle w:val="9"/>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4.本协议由甲乙双方经过充分协商，双方对本协议项下的全部条款的含义均已明确。</w:t>
      </w:r>
    </w:p>
    <w:p w14:paraId="19ED357B">
      <w:pPr>
        <w:rPr>
          <w:rFonts w:hint="eastAsia"/>
          <w:color w:val="auto"/>
        </w:rPr>
      </w:pPr>
    </w:p>
    <w:p w14:paraId="37B14A76">
      <w:pPr>
        <w:pStyle w:val="3"/>
        <w:rPr>
          <w:rFonts w:hint="eastAsia" w:ascii="仿宋" w:hAnsi="仿宋" w:eastAsia="仿宋" w:cs="仿宋"/>
          <w:snapToGrid w:val="0"/>
          <w:color w:val="auto"/>
          <w:sz w:val="28"/>
          <w:szCs w:val="28"/>
          <w:lang w:val="en-US" w:eastAsia="zh-CN"/>
        </w:rPr>
      </w:pPr>
    </w:p>
    <w:p w14:paraId="24AEFC48">
      <w:pPr>
        <w:rPr>
          <w:rFonts w:hint="eastAsia" w:ascii="仿宋" w:hAnsi="仿宋" w:eastAsia="仿宋" w:cs="仿宋"/>
          <w:snapToGrid w:val="0"/>
          <w:color w:val="auto"/>
          <w:sz w:val="28"/>
          <w:szCs w:val="28"/>
          <w:lang w:val="en-US" w:eastAsia="zh-CN"/>
        </w:rPr>
      </w:pPr>
    </w:p>
    <w:p w14:paraId="2AD4BCE3">
      <w:pPr>
        <w:pStyle w:val="3"/>
        <w:rPr>
          <w:rFonts w:hint="eastAsia" w:ascii="仿宋" w:hAnsi="仿宋" w:eastAsia="仿宋" w:cs="仿宋"/>
          <w:snapToGrid w:val="0"/>
          <w:color w:val="auto"/>
          <w:sz w:val="28"/>
          <w:szCs w:val="28"/>
          <w:lang w:val="en-US" w:eastAsia="zh-CN"/>
        </w:rPr>
      </w:pPr>
    </w:p>
    <w:p w14:paraId="1EE0222B">
      <w:pPr>
        <w:rPr>
          <w:rFonts w:hint="eastAsia" w:ascii="仿宋" w:hAnsi="仿宋" w:eastAsia="仿宋" w:cs="仿宋"/>
          <w:snapToGrid w:val="0"/>
          <w:color w:val="auto"/>
          <w:sz w:val="28"/>
          <w:szCs w:val="28"/>
          <w:lang w:val="en-US" w:eastAsia="zh-CN"/>
        </w:rPr>
      </w:pPr>
    </w:p>
    <w:p w14:paraId="61E7AB10">
      <w:pPr>
        <w:pStyle w:val="3"/>
        <w:rPr>
          <w:rFonts w:hint="eastAsia" w:ascii="仿宋" w:hAnsi="仿宋" w:eastAsia="仿宋" w:cs="仿宋"/>
          <w:snapToGrid w:val="0"/>
          <w:color w:val="auto"/>
          <w:sz w:val="28"/>
          <w:szCs w:val="28"/>
          <w:lang w:val="en-US" w:eastAsia="zh-CN"/>
        </w:rPr>
      </w:pPr>
    </w:p>
    <w:p w14:paraId="330B19E8">
      <w:pPr>
        <w:rPr>
          <w:color w:val="auto"/>
        </w:rPr>
      </w:pPr>
    </w:p>
    <w:sectPr>
      <w:footerReference r:id="rId3" w:type="default"/>
      <w:pgSz w:w="11906" w:h="16838"/>
      <w:pgMar w:top="1440" w:right="1179" w:bottom="1440" w:left="1179" w:header="851" w:footer="992" w:gutter="0"/>
      <w:pgNumType w:fmt="decimal" w:start="1"/>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6F3CE">
    <w:pPr>
      <w:pStyle w:val="4"/>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CA679E">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2CA679E">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p w14:paraId="0E4C9370">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ACAB14"/>
    <w:multiLevelType w:val="singleLevel"/>
    <w:tmpl w:val="96ACAB14"/>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trackedChanges"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NzIwNmQyODUwZTdmZDM2MjJjMWRhMWUwOWVhNWYifQ=="/>
  </w:docVars>
  <w:rsids>
    <w:rsidRoot w:val="44930351"/>
    <w:rsid w:val="038811EC"/>
    <w:rsid w:val="056C4100"/>
    <w:rsid w:val="05A34F7F"/>
    <w:rsid w:val="077D5F6C"/>
    <w:rsid w:val="08B15974"/>
    <w:rsid w:val="0907649E"/>
    <w:rsid w:val="0A434869"/>
    <w:rsid w:val="0BBC3451"/>
    <w:rsid w:val="0CA41878"/>
    <w:rsid w:val="0D730FA5"/>
    <w:rsid w:val="0DD8176C"/>
    <w:rsid w:val="0EEA1757"/>
    <w:rsid w:val="10FD1C16"/>
    <w:rsid w:val="1277789F"/>
    <w:rsid w:val="13C36885"/>
    <w:rsid w:val="166E564D"/>
    <w:rsid w:val="16F20657"/>
    <w:rsid w:val="19AA27F8"/>
    <w:rsid w:val="1A4D5CCA"/>
    <w:rsid w:val="1A4F24FF"/>
    <w:rsid w:val="1A9250A8"/>
    <w:rsid w:val="1B8C16A5"/>
    <w:rsid w:val="1B9F4316"/>
    <w:rsid w:val="1E34615C"/>
    <w:rsid w:val="1E4F6FED"/>
    <w:rsid w:val="20121DC5"/>
    <w:rsid w:val="21610F51"/>
    <w:rsid w:val="217355DC"/>
    <w:rsid w:val="21C86D92"/>
    <w:rsid w:val="22EC6193"/>
    <w:rsid w:val="23EC4760"/>
    <w:rsid w:val="24CC06BC"/>
    <w:rsid w:val="264B0D2E"/>
    <w:rsid w:val="280C725A"/>
    <w:rsid w:val="288249E2"/>
    <w:rsid w:val="2A001CAE"/>
    <w:rsid w:val="2A1B4DFC"/>
    <w:rsid w:val="2AE943AD"/>
    <w:rsid w:val="2C3B7185"/>
    <w:rsid w:val="2D46629B"/>
    <w:rsid w:val="2E4C0505"/>
    <w:rsid w:val="2F392B87"/>
    <w:rsid w:val="325329EB"/>
    <w:rsid w:val="34CE3AFC"/>
    <w:rsid w:val="35197976"/>
    <w:rsid w:val="3590483F"/>
    <w:rsid w:val="35D16FFF"/>
    <w:rsid w:val="36B12AAA"/>
    <w:rsid w:val="38684FDF"/>
    <w:rsid w:val="3A477E6C"/>
    <w:rsid w:val="3B8B353D"/>
    <w:rsid w:val="3C361932"/>
    <w:rsid w:val="3C991E4F"/>
    <w:rsid w:val="3CCD3069"/>
    <w:rsid w:val="3DFE2BAA"/>
    <w:rsid w:val="3E02448C"/>
    <w:rsid w:val="3F550484"/>
    <w:rsid w:val="407B3A9C"/>
    <w:rsid w:val="41D92442"/>
    <w:rsid w:val="41EA682C"/>
    <w:rsid w:val="428D37B0"/>
    <w:rsid w:val="439F1672"/>
    <w:rsid w:val="44930351"/>
    <w:rsid w:val="45E05087"/>
    <w:rsid w:val="471E3A09"/>
    <w:rsid w:val="471F0B12"/>
    <w:rsid w:val="47F55AF8"/>
    <w:rsid w:val="480249BD"/>
    <w:rsid w:val="481B23A6"/>
    <w:rsid w:val="499348D9"/>
    <w:rsid w:val="49F33E7F"/>
    <w:rsid w:val="4C603E89"/>
    <w:rsid w:val="4DEA0DD8"/>
    <w:rsid w:val="4DFD49FC"/>
    <w:rsid w:val="4EBC2167"/>
    <w:rsid w:val="4ECE3F5D"/>
    <w:rsid w:val="4F723E66"/>
    <w:rsid w:val="4F7245F5"/>
    <w:rsid w:val="4F7A656B"/>
    <w:rsid w:val="5054023C"/>
    <w:rsid w:val="50B87422"/>
    <w:rsid w:val="50F763F0"/>
    <w:rsid w:val="53AB1884"/>
    <w:rsid w:val="53F164F4"/>
    <w:rsid w:val="541F130F"/>
    <w:rsid w:val="55C93FC4"/>
    <w:rsid w:val="5667461A"/>
    <w:rsid w:val="59106ED1"/>
    <w:rsid w:val="5A02402A"/>
    <w:rsid w:val="5CA962EA"/>
    <w:rsid w:val="5CE04E16"/>
    <w:rsid w:val="5DC62A4F"/>
    <w:rsid w:val="5EB7457F"/>
    <w:rsid w:val="622005E9"/>
    <w:rsid w:val="645066D4"/>
    <w:rsid w:val="649E258C"/>
    <w:rsid w:val="66986C77"/>
    <w:rsid w:val="67534F6C"/>
    <w:rsid w:val="68895647"/>
    <w:rsid w:val="69AF5647"/>
    <w:rsid w:val="6B4B5184"/>
    <w:rsid w:val="6B764CDF"/>
    <w:rsid w:val="6BEE3015"/>
    <w:rsid w:val="6F4545F0"/>
    <w:rsid w:val="706978A3"/>
    <w:rsid w:val="708804F6"/>
    <w:rsid w:val="70BA13F9"/>
    <w:rsid w:val="717064F9"/>
    <w:rsid w:val="71F66CFC"/>
    <w:rsid w:val="720A7302"/>
    <w:rsid w:val="724F53B2"/>
    <w:rsid w:val="72592C83"/>
    <w:rsid w:val="72F14E07"/>
    <w:rsid w:val="733242AC"/>
    <w:rsid w:val="73D91656"/>
    <w:rsid w:val="74E318CC"/>
    <w:rsid w:val="77713090"/>
    <w:rsid w:val="783E76D7"/>
    <w:rsid w:val="785D2AC9"/>
    <w:rsid w:val="78844800"/>
    <w:rsid w:val="78E17A82"/>
    <w:rsid w:val="79170EC1"/>
    <w:rsid w:val="79A75D60"/>
    <w:rsid w:val="7B574C1E"/>
    <w:rsid w:val="7BF6296B"/>
    <w:rsid w:val="7DF05BB0"/>
    <w:rsid w:val="7FA316CB"/>
    <w:rsid w:val="7FA66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0"/>
    <w:pPr>
      <w:spacing w:after="120"/>
    </w:p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9">
    <w:name w:val="列出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